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CA92" w14:textId="77777777" w:rsidR="00C01F53" w:rsidRDefault="00000000">
      <w:pPr>
        <w:spacing w:after="0" w:line="259" w:lineRule="auto"/>
        <w:ind w:left="0" w:firstLine="0"/>
      </w:pPr>
      <w:r>
        <w:rPr>
          <w:b/>
          <w:sz w:val="24"/>
        </w:rPr>
        <w:t xml:space="preserve"> </w:t>
      </w:r>
    </w:p>
    <w:p w14:paraId="416627E5" w14:textId="77777777" w:rsidR="00C01F53" w:rsidRDefault="00000000">
      <w:pPr>
        <w:pStyle w:val="Heading1"/>
        <w:ind w:left="-5"/>
      </w:pPr>
      <w:r>
        <w:t>Total Population</w:t>
      </w:r>
      <w:r>
        <w:rPr>
          <w:u w:val="none"/>
        </w:rPr>
        <w:t xml:space="preserve"> </w:t>
      </w:r>
    </w:p>
    <w:p w14:paraId="0715597B" w14:textId="77777777" w:rsidR="00C01F53" w:rsidRDefault="00000000">
      <w:pPr>
        <w:ind w:left="-4"/>
      </w:pPr>
      <w:r>
        <w:rPr>
          <w:b/>
        </w:rPr>
        <w:t xml:space="preserve">Description: </w:t>
      </w:r>
      <w:r>
        <w:t xml:space="preserve">The total population for the circuit area, including all ages. </w:t>
      </w:r>
    </w:p>
    <w:p w14:paraId="59167CA1" w14:textId="77777777" w:rsidR="00C01F53" w:rsidRDefault="00000000">
      <w:pPr>
        <w:ind w:left="-4"/>
      </w:pPr>
      <w:r>
        <w:rPr>
          <w:b/>
        </w:rPr>
        <w:t xml:space="preserve">Source: </w:t>
      </w:r>
      <w:r>
        <w:t xml:space="preserve">U.S. Census Bureau. The population estimates are released on a flow basis throughout the year. Each new series of data incorporates the latest administrative record data, geographic boundaries, and methodology. Therefore, the entire time series of estimates beginning with the most recent decennial census is revised annually. The data reported are the annual estimates of the resident population for counties, summed into circuits, for the time period April 1, 2020 to July 1, 2021. The release date of this information was July 2022. </w:t>
      </w:r>
    </w:p>
    <w:p w14:paraId="4EB80820" w14:textId="77777777" w:rsidR="00C01F53" w:rsidRDefault="00000000">
      <w:pPr>
        <w:spacing w:after="180" w:line="258" w:lineRule="auto"/>
        <w:ind w:left="-5"/>
      </w:pPr>
      <w:r>
        <w:rPr>
          <w:b/>
        </w:rPr>
        <w:t xml:space="preserve">Data Source Location: </w:t>
      </w:r>
      <w:hyperlink r:id="rId6">
        <w:r>
          <w:rPr>
            <w:color w:val="0563C1"/>
            <w:u w:val="single" w:color="0563C1"/>
          </w:rPr>
          <w:t>https://www.census.gov/topics/population.html</w:t>
        </w:r>
      </w:hyperlink>
      <w:hyperlink r:id="rId7">
        <w:r>
          <w:t xml:space="preserve"> </w:t>
        </w:r>
      </w:hyperlink>
      <w:r>
        <w:t xml:space="preserve"> </w:t>
      </w:r>
    </w:p>
    <w:p w14:paraId="051C9316" w14:textId="77777777" w:rsidR="00C01F53" w:rsidRDefault="00000000">
      <w:pPr>
        <w:spacing w:after="180" w:line="258" w:lineRule="auto"/>
        <w:ind w:left="-5"/>
      </w:pPr>
      <w:r>
        <w:rPr>
          <w:b/>
        </w:rPr>
        <w:t xml:space="preserve">Methodology Documentation: </w:t>
      </w:r>
      <w:hyperlink r:id="rId8">
        <w:r>
          <w:rPr>
            <w:color w:val="0563C1"/>
            <w:u w:val="single" w:color="0563C1"/>
          </w:rPr>
          <w:t>https://www2.census.gov/programs-surveys/popest/technical</w:t>
        </w:r>
      </w:hyperlink>
      <w:hyperlink r:id="rId9">
        <w:r>
          <w:rPr>
            <w:color w:val="0563C1"/>
            <w:u w:val="single" w:color="0563C1"/>
          </w:rPr>
          <w:t>documentation/methodology/2020-2021/methods-statement-v2021.pdf</w:t>
        </w:r>
      </w:hyperlink>
      <w:hyperlink r:id="rId10">
        <w:r>
          <w:t xml:space="preserve"> </w:t>
        </w:r>
      </w:hyperlink>
    </w:p>
    <w:p w14:paraId="34437634" w14:textId="77777777" w:rsidR="00C01F53" w:rsidRDefault="00000000">
      <w:pPr>
        <w:spacing w:after="158" w:line="259" w:lineRule="auto"/>
        <w:ind w:left="0" w:firstLine="0"/>
      </w:pPr>
      <w:r>
        <w:rPr>
          <w:b/>
          <w:sz w:val="24"/>
        </w:rPr>
        <w:t xml:space="preserve"> </w:t>
      </w:r>
    </w:p>
    <w:p w14:paraId="1B1A801C" w14:textId="77777777" w:rsidR="00C01F53" w:rsidRDefault="00000000">
      <w:pPr>
        <w:pStyle w:val="Heading1"/>
        <w:ind w:left="-5"/>
      </w:pPr>
      <w:r>
        <w:t>Population Under 18</w:t>
      </w:r>
      <w:r>
        <w:rPr>
          <w:u w:val="none"/>
        </w:rPr>
        <w:t xml:space="preserve"> </w:t>
      </w:r>
    </w:p>
    <w:p w14:paraId="62B17621" w14:textId="77777777" w:rsidR="00C01F53" w:rsidRDefault="00000000">
      <w:pPr>
        <w:ind w:left="-4"/>
      </w:pPr>
      <w:r>
        <w:rPr>
          <w:b/>
        </w:rPr>
        <w:t xml:space="preserve">Description: </w:t>
      </w:r>
      <w:r>
        <w:t xml:space="preserve">The population of children, under the age of 18, for the circuit area. </w:t>
      </w:r>
    </w:p>
    <w:p w14:paraId="4D0DC686" w14:textId="77777777" w:rsidR="00C01F53" w:rsidRDefault="00000000">
      <w:pPr>
        <w:ind w:left="-4"/>
      </w:pPr>
      <w:r>
        <w:rPr>
          <w:noProof/>
        </w:rPr>
        <w:drawing>
          <wp:anchor distT="0" distB="0" distL="114300" distR="114300" simplePos="0" relativeHeight="251658240" behindDoc="0" locked="0" layoutInCell="1" allowOverlap="0" wp14:anchorId="10ABE150" wp14:editId="2CEF6F90">
            <wp:simplePos x="0" y="0"/>
            <wp:positionH relativeFrom="page">
              <wp:posOffset>548639</wp:posOffset>
            </wp:positionH>
            <wp:positionV relativeFrom="page">
              <wp:posOffset>150494</wp:posOffset>
            </wp:positionV>
            <wp:extent cx="2523490" cy="566420"/>
            <wp:effectExtent l="0" t="0" r="0" b="0"/>
            <wp:wrapTopAndBottom/>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1"/>
                    <a:stretch>
                      <a:fillRect/>
                    </a:stretch>
                  </pic:blipFill>
                  <pic:spPr>
                    <a:xfrm>
                      <a:off x="0" y="0"/>
                      <a:ext cx="2523490" cy="566420"/>
                    </a:xfrm>
                    <a:prstGeom prst="rect">
                      <a:avLst/>
                    </a:prstGeom>
                  </pic:spPr>
                </pic:pic>
              </a:graphicData>
            </a:graphic>
          </wp:anchor>
        </w:drawing>
      </w:r>
      <w:r>
        <w:rPr>
          <w:b/>
        </w:rPr>
        <w:t xml:space="preserve">Source: </w:t>
      </w:r>
      <w:r>
        <w:t>U.S. Census Bureau.</w:t>
      </w:r>
      <w:r>
        <w:rPr>
          <w:b/>
        </w:rPr>
        <w:t xml:space="preserve"> </w:t>
      </w:r>
      <w:r>
        <w:t xml:space="preserve">The population by age are released on a flow basis throughout the year. Similar to total population calculations, the process follows the cohort-component approach, aging the population forward and is revised annually. The data reported are the annual estimates of the resident population for counties, summed into circuits, for the time period April 1, 2020 to July 1, 2021. The release date of this information was July 2022.   </w:t>
      </w:r>
    </w:p>
    <w:p w14:paraId="2485EA28" w14:textId="77777777" w:rsidR="00C01F53" w:rsidRDefault="00000000">
      <w:pPr>
        <w:spacing w:after="180" w:line="258" w:lineRule="auto"/>
        <w:ind w:left="-5"/>
      </w:pPr>
      <w:r>
        <w:rPr>
          <w:b/>
        </w:rPr>
        <w:t xml:space="preserve">Data Source Location: </w:t>
      </w:r>
      <w:hyperlink r:id="rId12">
        <w:r>
          <w:rPr>
            <w:color w:val="0563C1"/>
            <w:u w:val="single" w:color="0563C1"/>
          </w:rPr>
          <w:t>https://www.census.gov/topics/population.html</w:t>
        </w:r>
      </w:hyperlink>
      <w:hyperlink r:id="rId13">
        <w:r>
          <w:t xml:space="preserve"> </w:t>
        </w:r>
      </w:hyperlink>
      <w:r>
        <w:t xml:space="preserve"> </w:t>
      </w:r>
    </w:p>
    <w:p w14:paraId="4074D474" w14:textId="77777777" w:rsidR="00C01F53" w:rsidRDefault="00000000">
      <w:pPr>
        <w:spacing w:after="180" w:line="258" w:lineRule="auto"/>
        <w:ind w:left="-5"/>
      </w:pPr>
      <w:r>
        <w:rPr>
          <w:b/>
        </w:rPr>
        <w:t xml:space="preserve">Methodology Documentation: </w:t>
      </w:r>
      <w:hyperlink r:id="rId14">
        <w:r>
          <w:rPr>
            <w:color w:val="0563C1"/>
            <w:u w:val="single" w:color="0563C1"/>
          </w:rPr>
          <w:t>https://www2.census.gov/programs-surveys/popest/technical</w:t>
        </w:r>
      </w:hyperlink>
      <w:hyperlink r:id="rId15">
        <w:r>
          <w:rPr>
            <w:color w:val="0563C1"/>
            <w:u w:val="single" w:color="0563C1"/>
          </w:rPr>
          <w:t>documentation/methodology/2020-2021/methods-statement-v2021.pdf</w:t>
        </w:r>
      </w:hyperlink>
      <w:hyperlink r:id="rId16">
        <w:r>
          <w:t xml:space="preserve"> </w:t>
        </w:r>
      </w:hyperlink>
    </w:p>
    <w:p w14:paraId="5D072A66" w14:textId="77777777" w:rsidR="00C01F53" w:rsidRDefault="00000000">
      <w:pPr>
        <w:spacing w:after="158" w:line="259" w:lineRule="auto"/>
        <w:ind w:left="0" w:firstLine="0"/>
      </w:pPr>
      <w:r>
        <w:rPr>
          <w:b/>
          <w:sz w:val="24"/>
        </w:rPr>
        <w:t xml:space="preserve"> </w:t>
      </w:r>
    </w:p>
    <w:p w14:paraId="76F27719" w14:textId="77777777" w:rsidR="00C01F53" w:rsidRDefault="00000000">
      <w:pPr>
        <w:pStyle w:val="Heading1"/>
        <w:ind w:left="-5"/>
      </w:pPr>
      <w:r>
        <w:t>Investigations</w:t>
      </w:r>
      <w:r>
        <w:rPr>
          <w:u w:val="none"/>
        </w:rPr>
        <w:t xml:space="preserve"> </w:t>
      </w:r>
    </w:p>
    <w:p w14:paraId="4ECFF770" w14:textId="77777777" w:rsidR="00C01F53" w:rsidRDefault="00000000">
      <w:pPr>
        <w:ind w:left="-4"/>
      </w:pPr>
      <w:r>
        <w:rPr>
          <w:b/>
        </w:rPr>
        <w:t xml:space="preserve">Description: </w:t>
      </w:r>
      <w:r>
        <w:t xml:space="preserve">The total number of child intake investigations initiated during the state fiscal year. This only includes initial intakes and excludes additional and subsequent intakes. To be included in the count, the intake decision date must have occurred during State Fiscal Year 2021-2022. </w:t>
      </w:r>
    </w:p>
    <w:p w14:paraId="1B54592F" w14:textId="77777777" w:rsidR="00C01F53" w:rsidRDefault="00000000">
      <w:pPr>
        <w:ind w:left="-4"/>
      </w:pPr>
      <w:r>
        <w:rPr>
          <w:b/>
        </w:rPr>
        <w:t xml:space="preserve">Source: </w:t>
      </w:r>
      <w:r>
        <w:t xml:space="preserve">FSFN ad hoc report. </w:t>
      </w:r>
    </w:p>
    <w:p w14:paraId="0DEE1D38" w14:textId="77777777" w:rsidR="00C01F53" w:rsidRDefault="00000000">
      <w:pPr>
        <w:spacing w:after="160" w:line="259" w:lineRule="auto"/>
        <w:ind w:left="0" w:firstLine="0"/>
      </w:pPr>
      <w:r>
        <w:rPr>
          <w:b/>
          <w:sz w:val="24"/>
        </w:rPr>
        <w:t xml:space="preserve"> </w:t>
      </w:r>
    </w:p>
    <w:p w14:paraId="02E3A937" w14:textId="77777777" w:rsidR="00C01F53" w:rsidRDefault="00000000">
      <w:pPr>
        <w:pStyle w:val="Heading1"/>
        <w:ind w:left="-5"/>
      </w:pPr>
      <w:r>
        <w:t>Removals</w:t>
      </w:r>
      <w:r>
        <w:rPr>
          <w:u w:val="none"/>
        </w:rPr>
        <w:t xml:space="preserve"> </w:t>
      </w:r>
    </w:p>
    <w:p w14:paraId="72DF5B79" w14:textId="1E7F6746" w:rsidR="00C01F53" w:rsidRDefault="00000000">
      <w:pPr>
        <w:ind w:left="-4"/>
      </w:pPr>
      <w:r>
        <w:rPr>
          <w:b/>
        </w:rPr>
        <w:t xml:space="preserve">Description: </w:t>
      </w:r>
      <w:r>
        <w:t xml:space="preserve">The total number of children who were removed during the state fiscal year. If a child was removed multiple times during the course of the fiscal year, each removal episode is counted in the total. </w:t>
      </w:r>
    </w:p>
    <w:p w14:paraId="7DC52F83" w14:textId="77777777" w:rsidR="00C01F53" w:rsidRDefault="00000000">
      <w:pPr>
        <w:ind w:left="-4"/>
      </w:pPr>
      <w:r>
        <w:rPr>
          <w:b/>
        </w:rPr>
        <w:t>Source</w:t>
      </w:r>
      <w:r>
        <w:t xml:space="preserve">: Florida Safe Families Network (FSFN) ad hoc report. </w:t>
      </w:r>
    </w:p>
    <w:p w14:paraId="10BC9D6B" w14:textId="77777777" w:rsidR="00C01F53" w:rsidRDefault="00000000">
      <w:pPr>
        <w:pStyle w:val="Heading1"/>
        <w:ind w:left="-5"/>
      </w:pPr>
      <w:r>
        <w:t>Removal Rate Per 1,000 Investigations</w:t>
      </w:r>
      <w:r>
        <w:rPr>
          <w:u w:val="none"/>
        </w:rPr>
        <w:t xml:space="preserve"> </w:t>
      </w:r>
    </w:p>
    <w:p w14:paraId="2EEFC9D8" w14:textId="77777777" w:rsidR="00C01F53" w:rsidRDefault="00000000">
      <w:pPr>
        <w:ind w:left="-4"/>
      </w:pPr>
      <w:r>
        <w:rPr>
          <w:b/>
        </w:rPr>
        <w:t xml:space="preserve">Description: </w:t>
      </w:r>
      <w:r>
        <w:t xml:space="preserve">The rate of removals as compared to the total number of investigations.  </w:t>
      </w:r>
    </w:p>
    <w:p w14:paraId="3DE8C3CA" w14:textId="77777777" w:rsidR="00851512" w:rsidRDefault="00000000">
      <w:pPr>
        <w:ind w:left="-4" w:right="159"/>
      </w:pPr>
      <w:r>
        <w:rPr>
          <w:b/>
        </w:rPr>
        <w:t xml:space="preserve">Methodology: </w:t>
      </w:r>
      <w:r>
        <w:t xml:space="preserve">Rates are normalized by multiplying the dividend by a base of ten, usually either 100 or 1,000, depending on the factors being compared. For removal rates per investigations, 1,000 was chosen to mirror calculations similar to the Child Welfare Outcomes Report to Congress, prepared by the Children’s Bureau of the U.S. Department of Health and Human Services and displayed on the Children’s Bureau’s Child Welfare Outcomes Report Data dashboard. </w:t>
      </w:r>
    </w:p>
    <w:p w14:paraId="401F313F" w14:textId="18A99C95" w:rsidR="00C01F53" w:rsidRDefault="00000000">
      <w:pPr>
        <w:ind w:left="-4" w:right="159"/>
      </w:pPr>
      <w:r>
        <w:rPr>
          <w:b/>
        </w:rPr>
        <w:t xml:space="preserve">Methodology Source Locations:  </w:t>
      </w:r>
    </w:p>
    <w:p w14:paraId="07B10632" w14:textId="77777777" w:rsidR="00C01F53" w:rsidRDefault="00000000">
      <w:pPr>
        <w:spacing w:after="1" w:line="258" w:lineRule="auto"/>
        <w:ind w:left="-5"/>
      </w:pPr>
      <w:hyperlink r:id="rId17">
        <w:r>
          <w:rPr>
            <w:color w:val="0563C1"/>
            <w:u w:val="single" w:color="0563C1"/>
          </w:rPr>
          <w:t>https://www.acf.hhs.gov/cb/data-research/child-welfare-outcomes</w:t>
        </w:r>
      </w:hyperlink>
      <w:hyperlink r:id="rId18">
        <w:r>
          <w:t xml:space="preserve"> </w:t>
        </w:r>
      </w:hyperlink>
      <w:hyperlink r:id="rId19">
        <w:r>
          <w:rPr>
            <w:color w:val="0563C1"/>
            <w:u w:val="single" w:color="0563C1"/>
          </w:rPr>
          <w:t>https://cwoutcomes.acf.hhs.gov/cwoda</w:t>
        </w:r>
        <w:r>
          <w:rPr>
            <w:color w:val="0563C1"/>
            <w:u w:val="single" w:color="0563C1"/>
          </w:rPr>
          <w:t>t</w:t>
        </w:r>
        <w:r>
          <w:rPr>
            <w:color w:val="0563C1"/>
            <w:u w:val="single" w:color="0563C1"/>
          </w:rPr>
          <w:t>asite/enteredCare/index</w:t>
        </w:r>
      </w:hyperlink>
      <w:hyperlink r:id="rId20">
        <w:r>
          <w:t xml:space="preserve"> </w:t>
        </w:r>
      </w:hyperlink>
      <w:r>
        <w:t xml:space="preserve"> </w:t>
      </w:r>
    </w:p>
    <w:p w14:paraId="2D476A82" w14:textId="77777777" w:rsidR="00C01F53" w:rsidRDefault="00000000">
      <w:pPr>
        <w:spacing w:after="0" w:line="259" w:lineRule="auto"/>
        <w:ind w:left="0" w:firstLine="0"/>
      </w:pPr>
      <w:r>
        <w:t xml:space="preserve"> </w:t>
      </w:r>
    </w:p>
    <w:p w14:paraId="27CDB580" w14:textId="77777777" w:rsidR="00C01F53" w:rsidRDefault="00000000">
      <w:pPr>
        <w:ind w:left="-4"/>
      </w:pPr>
      <w:r>
        <w:rPr>
          <w:b/>
        </w:rPr>
        <w:t xml:space="preserve">Calculation: </w:t>
      </w:r>
      <w:r>
        <w:t xml:space="preserve">The removal rate is equal to total removals divided by total investigations, multiplied by 1,000. </w:t>
      </w:r>
    </w:p>
    <w:p w14:paraId="2C2804F2" w14:textId="77777777" w:rsidR="00851512" w:rsidRDefault="00851512" w:rsidP="00851512">
      <w:pPr>
        <w:ind w:left="-4"/>
      </w:pPr>
      <w:r>
        <w:rPr>
          <w:b/>
        </w:rPr>
        <w:t xml:space="preserve">Source: </w:t>
      </w:r>
      <w:r>
        <w:t xml:space="preserve">FSFN ad hoc report </w:t>
      </w:r>
    </w:p>
    <w:p w14:paraId="5A0FD544" w14:textId="45E63228" w:rsidR="00C01F53" w:rsidRDefault="00C01F53">
      <w:pPr>
        <w:spacing w:after="158" w:line="259" w:lineRule="auto"/>
        <w:ind w:left="0" w:firstLine="0"/>
      </w:pPr>
    </w:p>
    <w:p w14:paraId="2C7575A9" w14:textId="77777777" w:rsidR="00C01F53" w:rsidRDefault="00000000">
      <w:pPr>
        <w:pStyle w:val="Heading2"/>
        <w:ind w:left="-5"/>
      </w:pPr>
      <w:r>
        <w:t>Children Receiving Services</w:t>
      </w:r>
      <w:r>
        <w:rPr>
          <w:u w:val="none"/>
        </w:rPr>
        <w:t xml:space="preserve"> </w:t>
      </w:r>
    </w:p>
    <w:p w14:paraId="312F93B6" w14:textId="77777777" w:rsidR="00C01F53" w:rsidRDefault="00000000">
      <w:pPr>
        <w:ind w:left="-4"/>
      </w:pPr>
      <w:r>
        <w:rPr>
          <w:b/>
        </w:rPr>
        <w:t xml:space="preserve">Description: </w:t>
      </w:r>
      <w:r>
        <w:t xml:space="preserve">The total number of children who received in-home or out-of-home during the state fiscal year. This includes both children who were already in care before the beginning of the fiscal year and children who entered care during the fiscal year.  </w:t>
      </w:r>
    </w:p>
    <w:p w14:paraId="09427341" w14:textId="77777777" w:rsidR="00C01F53" w:rsidRDefault="00000000">
      <w:pPr>
        <w:ind w:left="-4"/>
      </w:pPr>
      <w:r>
        <w:rPr>
          <w:b/>
        </w:rPr>
        <w:t xml:space="preserve">Source: </w:t>
      </w:r>
      <w:r>
        <w:t xml:space="preserve">FSFN ad hoc report </w:t>
      </w:r>
    </w:p>
    <w:p w14:paraId="554C38B0" w14:textId="77777777" w:rsidR="00C01F53" w:rsidRDefault="00000000">
      <w:pPr>
        <w:spacing w:after="158" w:line="259" w:lineRule="auto"/>
        <w:ind w:left="0" w:firstLine="0"/>
      </w:pPr>
      <w:r>
        <w:rPr>
          <w:b/>
          <w:sz w:val="24"/>
        </w:rPr>
        <w:t xml:space="preserve"> </w:t>
      </w:r>
    </w:p>
    <w:p w14:paraId="68279AFE" w14:textId="77777777" w:rsidR="00C01F53" w:rsidRDefault="00000000">
      <w:pPr>
        <w:pStyle w:val="Heading2"/>
        <w:ind w:left="-5"/>
      </w:pPr>
      <w:r>
        <w:t>Children Entering Care</w:t>
      </w:r>
      <w:r>
        <w:rPr>
          <w:b w:val="0"/>
          <w:u w:val="none"/>
        </w:rPr>
        <w:t xml:space="preserve"> </w:t>
      </w:r>
    </w:p>
    <w:p w14:paraId="5271E10F" w14:textId="77777777" w:rsidR="00C01F53" w:rsidRDefault="00000000">
      <w:pPr>
        <w:ind w:left="-4"/>
      </w:pPr>
      <w:r>
        <w:rPr>
          <w:b/>
        </w:rPr>
        <w:t xml:space="preserve">Description: </w:t>
      </w:r>
      <w:r>
        <w:t xml:space="preserve">The total number of children who entered into the system during the state fiscal year. This includes all case-managed services, both children who entered into out-of-home care and those who received in-home services. </w:t>
      </w:r>
    </w:p>
    <w:p w14:paraId="75D3CDAB" w14:textId="77777777" w:rsidR="00C01F53" w:rsidRDefault="00000000">
      <w:pPr>
        <w:ind w:left="-4"/>
      </w:pPr>
      <w:r>
        <w:rPr>
          <w:b/>
        </w:rPr>
        <w:t xml:space="preserve">Source: </w:t>
      </w:r>
      <w:r>
        <w:t xml:space="preserve">FSFN ad hoc report </w:t>
      </w:r>
    </w:p>
    <w:p w14:paraId="5986156D" w14:textId="77777777" w:rsidR="00C01F53" w:rsidRDefault="00000000">
      <w:pPr>
        <w:spacing w:after="160" w:line="259" w:lineRule="auto"/>
        <w:ind w:left="0" w:firstLine="0"/>
      </w:pPr>
      <w:r>
        <w:rPr>
          <w:b/>
          <w:sz w:val="24"/>
        </w:rPr>
        <w:t xml:space="preserve"> </w:t>
      </w:r>
    </w:p>
    <w:p w14:paraId="07F0DDA1" w14:textId="77777777" w:rsidR="00C01F53" w:rsidRDefault="00000000">
      <w:pPr>
        <w:pStyle w:val="Heading2"/>
        <w:ind w:left="-5"/>
      </w:pPr>
      <w:r>
        <w:t>Children Exiting Care</w:t>
      </w:r>
      <w:r>
        <w:rPr>
          <w:u w:val="none"/>
        </w:rPr>
        <w:t xml:space="preserve"> </w:t>
      </w:r>
    </w:p>
    <w:p w14:paraId="3E731399" w14:textId="77777777" w:rsidR="00C01F53" w:rsidRDefault="00000000">
      <w:pPr>
        <w:ind w:left="-4"/>
      </w:pPr>
      <w:r>
        <w:rPr>
          <w:b/>
        </w:rPr>
        <w:t xml:space="preserve">Description: </w:t>
      </w:r>
      <w:r>
        <w:t xml:space="preserve">The total number of children who exited the system during the state fiscal year. This includes all children who had a case management end date listed, thus both children in out-of-home care who exited out of the system due to achieving permanency or because of aging out of the system or death and children who were no longer receiving in-home case managed supervision. </w:t>
      </w:r>
    </w:p>
    <w:p w14:paraId="5FC3B191" w14:textId="77777777" w:rsidR="00C01F53" w:rsidRDefault="00000000">
      <w:pPr>
        <w:ind w:left="-4"/>
      </w:pPr>
      <w:r>
        <w:rPr>
          <w:b/>
        </w:rPr>
        <w:t xml:space="preserve">Source: </w:t>
      </w:r>
      <w:r>
        <w:t xml:space="preserve">FSFN ad hoc report </w:t>
      </w:r>
    </w:p>
    <w:p w14:paraId="717FF179" w14:textId="77777777" w:rsidR="00C01F53" w:rsidRDefault="00000000">
      <w:pPr>
        <w:spacing w:after="160" w:line="259" w:lineRule="auto"/>
        <w:ind w:left="0" w:firstLine="0"/>
      </w:pPr>
      <w:r>
        <w:rPr>
          <w:b/>
          <w:sz w:val="24"/>
        </w:rPr>
        <w:t xml:space="preserve"> </w:t>
      </w:r>
    </w:p>
    <w:p w14:paraId="545F9B14" w14:textId="77777777" w:rsidR="00C01F53" w:rsidRDefault="00000000">
      <w:pPr>
        <w:spacing w:after="0" w:line="259" w:lineRule="auto"/>
        <w:ind w:left="0" w:firstLine="0"/>
      </w:pPr>
      <w:r>
        <w:rPr>
          <w:b/>
          <w:sz w:val="24"/>
        </w:rPr>
        <w:t xml:space="preserve"> </w:t>
      </w:r>
    </w:p>
    <w:p w14:paraId="72CD2C4C" w14:textId="77777777" w:rsidR="00C01F53" w:rsidRDefault="00000000">
      <w:pPr>
        <w:pStyle w:val="Heading2"/>
        <w:ind w:left="-5"/>
      </w:pPr>
      <w:r>
        <w:t>Entry Rate Per 1,000 in the General Population</w:t>
      </w:r>
      <w:r>
        <w:rPr>
          <w:u w:val="none"/>
        </w:rPr>
        <w:t xml:space="preserve"> </w:t>
      </w:r>
    </w:p>
    <w:p w14:paraId="44295E3D" w14:textId="77777777" w:rsidR="00C01F53" w:rsidRDefault="00000000">
      <w:pPr>
        <w:ind w:left="-4"/>
      </w:pPr>
      <w:r>
        <w:rPr>
          <w:b/>
        </w:rPr>
        <w:t xml:space="preserve">Description: </w:t>
      </w:r>
      <w:r>
        <w:t xml:space="preserve">The number of children who entered care, either in-home or out-of-home care, compared to the total population of children under the age of 18. </w:t>
      </w:r>
    </w:p>
    <w:p w14:paraId="0211231B" w14:textId="77777777" w:rsidR="00C01F53" w:rsidRDefault="00000000">
      <w:pPr>
        <w:ind w:left="-4"/>
      </w:pPr>
      <w:r>
        <w:rPr>
          <w:b/>
        </w:rPr>
        <w:t xml:space="preserve">Methodology: </w:t>
      </w:r>
      <w:r>
        <w:t xml:space="preserve">The total number of children who entered care during the state fiscal year divided by the total population of children under the age of 18, multiplied by 1,000.  </w:t>
      </w:r>
    </w:p>
    <w:p w14:paraId="2F502290" w14:textId="1652835F" w:rsidR="00C01F53" w:rsidRDefault="00C01F53">
      <w:pPr>
        <w:spacing w:after="160" w:line="259" w:lineRule="auto"/>
        <w:ind w:left="0" w:firstLine="0"/>
      </w:pPr>
    </w:p>
    <w:p w14:paraId="304AB8A5" w14:textId="77777777" w:rsidR="00C01F53" w:rsidRDefault="00000000">
      <w:pPr>
        <w:pStyle w:val="Heading2"/>
        <w:ind w:left="-5"/>
      </w:pPr>
      <w:r>
        <w:t>Graduation Rate</w:t>
      </w:r>
      <w:r>
        <w:rPr>
          <w:u w:val="none"/>
        </w:rPr>
        <w:t xml:space="preserve"> </w:t>
      </w:r>
    </w:p>
    <w:p w14:paraId="3D9A4C9C" w14:textId="77777777" w:rsidR="00C01F53" w:rsidRDefault="00000000">
      <w:pPr>
        <w:ind w:left="-4"/>
      </w:pPr>
      <w:r>
        <w:rPr>
          <w:b/>
        </w:rPr>
        <w:t xml:space="preserve">Description: </w:t>
      </w:r>
      <w:r>
        <w:t xml:space="preserve">The percentage of students who graduated with a standard diploma within four years of their initial enrollment in ninth grade. Graduation rates provide information about performance of schools and future employability of students. Higher salaries are typically available to high school graduates, as most employers consider a high school graduate as someone who remained committed to finishing school and pursuing their education. Receiving a high school diploma enables someone to pursue a higher education, including vocational school, trade programs, a certified work-program or college. A high school diploma is simply the doorway to even more available long-term career opportunities. </w:t>
      </w:r>
    </w:p>
    <w:p w14:paraId="6379DF20" w14:textId="77777777" w:rsidR="00C01F53" w:rsidRDefault="00000000">
      <w:pPr>
        <w:spacing w:after="180" w:line="258" w:lineRule="auto"/>
        <w:ind w:left="-5" w:right="8256"/>
      </w:pPr>
      <w:r>
        <w:rPr>
          <w:b/>
        </w:rPr>
        <w:t xml:space="preserve">Source: </w:t>
      </w:r>
      <w:hyperlink r:id="rId21">
        <w:proofErr w:type="spellStart"/>
        <w:r>
          <w:rPr>
            <w:color w:val="0563C1"/>
            <w:u w:val="single" w:color="0563C1"/>
          </w:rPr>
          <w:t>FLHealth</w:t>
        </w:r>
        <w:proofErr w:type="spellEnd"/>
        <w:r>
          <w:rPr>
            <w:color w:val="0563C1"/>
            <w:u w:val="single" w:color="0563C1"/>
          </w:rPr>
          <w:t xml:space="preserve"> Charts</w:t>
        </w:r>
      </w:hyperlink>
      <w:hyperlink r:id="rId22">
        <w:r>
          <w:t xml:space="preserve"> </w:t>
        </w:r>
      </w:hyperlink>
      <w:r>
        <w:t xml:space="preserve"> </w:t>
      </w:r>
    </w:p>
    <w:p w14:paraId="5571C263" w14:textId="77777777" w:rsidR="00C01F53" w:rsidRDefault="00000000">
      <w:pPr>
        <w:pStyle w:val="Heading2"/>
        <w:ind w:left="-5"/>
      </w:pPr>
      <w:r>
        <w:t>Suicide Rate</w:t>
      </w:r>
      <w:r>
        <w:rPr>
          <w:u w:val="none"/>
        </w:rPr>
        <w:t xml:space="preserve"> </w:t>
      </w:r>
    </w:p>
    <w:p w14:paraId="083B4229" w14:textId="77777777" w:rsidR="00C01F53" w:rsidRDefault="00000000">
      <w:pPr>
        <w:ind w:left="-4"/>
      </w:pPr>
      <w:r>
        <w:rPr>
          <w:b/>
        </w:rPr>
        <w:t xml:space="preserve">Description: </w:t>
      </w:r>
      <w:r>
        <w:t xml:space="preserve">Suicide is death caused by injuring oneself with the intent to die. Suicide is among the top 10 leading causes of death in the United States, resulting in about one death every 11 minutes. Additionally, suicide attempts result in an even larger number of non-fatal, intentional self-harm injuries. Suicide is a problem throughout the life span. In the US, it is the second leading cause of death for people 10 to 34 years of age, the fourth leading cause among people 35 to 54 years of age, and the eighth leading cause among people 55 to 64 years of age. </w:t>
      </w:r>
    </w:p>
    <w:p w14:paraId="6465CB7A" w14:textId="77777777" w:rsidR="00C01F53" w:rsidRDefault="00000000">
      <w:pPr>
        <w:spacing w:after="180" w:line="258" w:lineRule="auto"/>
        <w:ind w:left="-5" w:right="8256"/>
      </w:pPr>
      <w:r>
        <w:rPr>
          <w:b/>
        </w:rPr>
        <w:t xml:space="preserve">Source: </w:t>
      </w:r>
      <w:hyperlink r:id="rId23">
        <w:proofErr w:type="spellStart"/>
        <w:r>
          <w:rPr>
            <w:color w:val="0563C1"/>
            <w:u w:val="single" w:color="0563C1"/>
          </w:rPr>
          <w:t>FLHealth</w:t>
        </w:r>
        <w:proofErr w:type="spellEnd"/>
        <w:r>
          <w:rPr>
            <w:color w:val="0563C1"/>
            <w:u w:val="single" w:color="0563C1"/>
          </w:rPr>
          <w:t xml:space="preserve"> Charts</w:t>
        </w:r>
      </w:hyperlink>
      <w:hyperlink r:id="rId24">
        <w:r>
          <w:t xml:space="preserve"> </w:t>
        </w:r>
      </w:hyperlink>
      <w:r>
        <w:t xml:space="preserve"> </w:t>
      </w:r>
    </w:p>
    <w:p w14:paraId="303BE415" w14:textId="77777777" w:rsidR="00C01F53" w:rsidRDefault="00000000">
      <w:pPr>
        <w:pStyle w:val="Heading2"/>
        <w:ind w:left="-5"/>
      </w:pPr>
      <w:r>
        <w:t>Families Below Poverty Level</w:t>
      </w:r>
      <w:r>
        <w:rPr>
          <w:u w:val="none"/>
        </w:rPr>
        <w:t xml:space="preserve"> </w:t>
      </w:r>
    </w:p>
    <w:p w14:paraId="04A9CE87" w14:textId="77777777" w:rsidR="00C01F53" w:rsidRDefault="00000000">
      <w:pPr>
        <w:ind w:left="-4"/>
      </w:pPr>
      <w:r>
        <w:rPr>
          <w:b/>
        </w:rPr>
        <w:t xml:space="preserve">Description: </w:t>
      </w:r>
      <w:r>
        <w:t xml:space="preserve">The percentage of families whose combined income from all family members aged 15 or older is below the federal poverty level. Poverty is a social determinant of health. Families and individuals with incomes below the poverty level have difficulty meeting basic needs such as housing, food, clothing, transportation, etc. A higher percentage of families below poverty level indicates a greater need for assistance such as that provided by government and community-based services and programs. </w:t>
      </w:r>
      <w:r>
        <w:rPr>
          <w:b/>
        </w:rPr>
        <w:t xml:space="preserve">Source: </w:t>
      </w:r>
      <w:hyperlink r:id="rId25">
        <w:proofErr w:type="spellStart"/>
        <w:r>
          <w:rPr>
            <w:color w:val="0563C1"/>
            <w:u w:val="single" w:color="0563C1"/>
          </w:rPr>
          <w:t>FLHealth</w:t>
        </w:r>
        <w:proofErr w:type="spellEnd"/>
        <w:r>
          <w:rPr>
            <w:color w:val="0563C1"/>
            <w:u w:val="single" w:color="0563C1"/>
          </w:rPr>
          <w:t xml:space="preserve"> Charts</w:t>
        </w:r>
      </w:hyperlink>
      <w:hyperlink r:id="rId26">
        <w:r>
          <w:t xml:space="preserve"> </w:t>
        </w:r>
      </w:hyperlink>
    </w:p>
    <w:p w14:paraId="0164BCCE" w14:textId="77777777" w:rsidR="00C01F53" w:rsidRDefault="00000000">
      <w:pPr>
        <w:spacing w:after="0" w:line="259" w:lineRule="auto"/>
        <w:ind w:left="540" w:firstLine="0"/>
      </w:pPr>
      <w:r>
        <w:t xml:space="preserve"> </w:t>
      </w:r>
    </w:p>
    <w:sectPr w:rsidR="00C01F53">
      <w:footerReference w:type="even" r:id="rId27"/>
      <w:footerReference w:type="default" r:id="rId28"/>
      <w:footerReference w:type="first" r:id="rId29"/>
      <w:pgSz w:w="12240" w:h="15840"/>
      <w:pgMar w:top="1131" w:right="541" w:bottom="1872" w:left="900" w:header="72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1020" w14:textId="77777777" w:rsidR="00982950" w:rsidRDefault="00982950">
      <w:pPr>
        <w:spacing w:after="0" w:line="240" w:lineRule="auto"/>
      </w:pPr>
      <w:r>
        <w:separator/>
      </w:r>
    </w:p>
  </w:endnote>
  <w:endnote w:type="continuationSeparator" w:id="0">
    <w:p w14:paraId="59DCDD5A" w14:textId="77777777" w:rsidR="00982950" w:rsidRDefault="0098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1844"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D12D9B" wp14:editId="37CF5B17">
              <wp:simplePos x="0" y="0"/>
              <wp:positionH relativeFrom="page">
                <wp:posOffset>917448</wp:posOffset>
              </wp:positionH>
              <wp:positionV relativeFrom="page">
                <wp:posOffset>9297136</wp:posOffset>
              </wp:positionV>
              <wp:extent cx="6397752" cy="320040"/>
              <wp:effectExtent l="0" t="0" r="0" b="0"/>
              <wp:wrapSquare wrapText="bothSides"/>
              <wp:docPr id="3374" name="Group 3374"/>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85" name="Shape 3485"/>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8" name="Rectangle 3378"/>
                      <wps:cNvSpPr/>
                      <wps:spPr>
                        <a:xfrm>
                          <a:off x="6196584" y="100229"/>
                          <a:ext cx="120235" cy="241549"/>
                        </a:xfrm>
                        <a:prstGeom prst="rect">
                          <a:avLst/>
                        </a:prstGeom>
                        <a:ln>
                          <a:noFill/>
                        </a:ln>
                      </wps:spPr>
                      <wps:txbx>
                        <w:txbxContent>
                          <w:p w14:paraId="0A1AECBC"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79" name="Rectangle 3379"/>
                      <wps:cNvSpPr/>
                      <wps:spPr>
                        <a:xfrm>
                          <a:off x="6286500" y="100229"/>
                          <a:ext cx="53596" cy="241549"/>
                        </a:xfrm>
                        <a:prstGeom prst="rect">
                          <a:avLst/>
                        </a:prstGeom>
                        <a:ln>
                          <a:noFill/>
                        </a:ln>
                      </wps:spPr>
                      <wps:txbx>
                        <w:txbxContent>
                          <w:p w14:paraId="6FE1110D"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86" name="Shape 3486"/>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77" name="Picture 3377"/>
                        <pic:cNvPicPr/>
                      </pic:nvPicPr>
                      <pic:blipFill>
                        <a:blip r:embed="rId1"/>
                        <a:stretch>
                          <a:fillRect/>
                        </a:stretch>
                      </pic:blipFill>
                      <pic:spPr>
                        <a:xfrm>
                          <a:off x="0" y="115088"/>
                          <a:ext cx="5917692" cy="201168"/>
                        </a:xfrm>
                        <a:prstGeom prst="rect">
                          <a:avLst/>
                        </a:prstGeom>
                      </pic:spPr>
                    </pic:pic>
                    <wps:wsp>
                      <wps:cNvPr id="3380" name="Rectangle 3380"/>
                      <wps:cNvSpPr/>
                      <wps:spPr>
                        <a:xfrm>
                          <a:off x="4924044" y="142520"/>
                          <a:ext cx="782605" cy="189936"/>
                        </a:xfrm>
                        <a:prstGeom prst="rect">
                          <a:avLst/>
                        </a:prstGeom>
                        <a:ln>
                          <a:noFill/>
                        </a:ln>
                      </wps:spPr>
                      <wps:txbx>
                        <w:txbxContent>
                          <w:p w14:paraId="586BB1CE"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81" name="Rectangle 3381"/>
                      <wps:cNvSpPr/>
                      <wps:spPr>
                        <a:xfrm>
                          <a:off x="5512308" y="142520"/>
                          <a:ext cx="42143" cy="189936"/>
                        </a:xfrm>
                        <a:prstGeom prst="rect">
                          <a:avLst/>
                        </a:prstGeom>
                        <a:ln>
                          <a:noFill/>
                        </a:ln>
                      </wps:spPr>
                      <wps:txbx>
                        <w:txbxContent>
                          <w:p w14:paraId="77201229"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82" name="Rectangle 3382"/>
                      <wps:cNvSpPr/>
                      <wps:spPr>
                        <a:xfrm>
                          <a:off x="5544312" y="142520"/>
                          <a:ext cx="376292" cy="189936"/>
                        </a:xfrm>
                        <a:prstGeom prst="rect">
                          <a:avLst/>
                        </a:prstGeom>
                        <a:ln>
                          <a:noFill/>
                        </a:ln>
                      </wps:spPr>
                      <wps:txbx>
                        <w:txbxContent>
                          <w:p w14:paraId="69B39E01"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83" name="Rectangle 3383"/>
                      <wps:cNvSpPr/>
                      <wps:spPr>
                        <a:xfrm>
                          <a:off x="5826252" y="142520"/>
                          <a:ext cx="42144" cy="189936"/>
                        </a:xfrm>
                        <a:prstGeom prst="rect">
                          <a:avLst/>
                        </a:prstGeom>
                        <a:ln>
                          <a:noFill/>
                        </a:ln>
                      </wps:spPr>
                      <wps:txbx>
                        <w:txbxContent>
                          <w:p w14:paraId="5D0C95E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74" style="width:503.76pt;height:25.2pt;position:absolute;mso-position-horizontal-relative:page;mso-position-horizontal:absolute;margin-left:72.24pt;mso-position-vertical-relative:page;margin-top:732.058pt;" coordsize="63977,3200">
              <v:shape id="Shape 3487" style="position:absolute;width:4572;height:3200;left:59405;top:0;" coordsize="457200,320040" path="m0,0l457200,0l457200,320040l0,320040l0,0">
                <v:stroke weight="0pt" endcap="flat" joinstyle="miter" miterlimit="10" on="false" color="#000000" opacity="0"/>
                <v:fill on="true" color="#000000"/>
              </v:shape>
              <v:rect id="Rectangle 3378"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79"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8" style="position:absolute;width:59246;height:186;left:159;top:0;" coordsize="5924614,18606" path="m0,0l5924614,0l5924614,18606l0,18606l0,0">
                <v:stroke weight="0pt" endcap="flat" joinstyle="miter" miterlimit="10" on="false" color="#000000" opacity="0"/>
                <v:fill on="true" color="#000000"/>
              </v:shape>
              <v:shape id="Picture 3377" style="position:absolute;width:59176;height:2011;left:0;top:1150;" filled="f">
                <v:imagedata r:id="rId5"/>
              </v:shape>
              <v:rect id="Rectangle 3380"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81"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82"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83"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7636"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8E65BA5" wp14:editId="28569E10">
              <wp:simplePos x="0" y="0"/>
              <wp:positionH relativeFrom="page">
                <wp:posOffset>917448</wp:posOffset>
              </wp:positionH>
              <wp:positionV relativeFrom="page">
                <wp:posOffset>9297136</wp:posOffset>
              </wp:positionV>
              <wp:extent cx="6397752" cy="320040"/>
              <wp:effectExtent l="0" t="0" r="0" b="0"/>
              <wp:wrapSquare wrapText="bothSides"/>
              <wp:docPr id="3358" name="Group 3358"/>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81" name="Shape 3481"/>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2" name="Rectangle 3362"/>
                      <wps:cNvSpPr/>
                      <wps:spPr>
                        <a:xfrm>
                          <a:off x="6196584" y="100229"/>
                          <a:ext cx="120235" cy="241549"/>
                        </a:xfrm>
                        <a:prstGeom prst="rect">
                          <a:avLst/>
                        </a:prstGeom>
                        <a:ln>
                          <a:noFill/>
                        </a:ln>
                      </wps:spPr>
                      <wps:txbx>
                        <w:txbxContent>
                          <w:p w14:paraId="2EFC5D25"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63" name="Rectangle 3363"/>
                      <wps:cNvSpPr/>
                      <wps:spPr>
                        <a:xfrm>
                          <a:off x="6286500" y="100229"/>
                          <a:ext cx="53596" cy="241549"/>
                        </a:xfrm>
                        <a:prstGeom prst="rect">
                          <a:avLst/>
                        </a:prstGeom>
                        <a:ln>
                          <a:noFill/>
                        </a:ln>
                      </wps:spPr>
                      <wps:txbx>
                        <w:txbxContent>
                          <w:p w14:paraId="3F622211"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82" name="Shape 3482"/>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61" name="Picture 3361"/>
                        <pic:cNvPicPr/>
                      </pic:nvPicPr>
                      <pic:blipFill>
                        <a:blip r:embed="rId1"/>
                        <a:stretch>
                          <a:fillRect/>
                        </a:stretch>
                      </pic:blipFill>
                      <pic:spPr>
                        <a:xfrm>
                          <a:off x="0" y="115088"/>
                          <a:ext cx="5917692" cy="201168"/>
                        </a:xfrm>
                        <a:prstGeom prst="rect">
                          <a:avLst/>
                        </a:prstGeom>
                      </pic:spPr>
                    </pic:pic>
                    <wps:wsp>
                      <wps:cNvPr id="3364" name="Rectangle 3364"/>
                      <wps:cNvSpPr/>
                      <wps:spPr>
                        <a:xfrm>
                          <a:off x="4924044" y="142520"/>
                          <a:ext cx="782605" cy="189936"/>
                        </a:xfrm>
                        <a:prstGeom prst="rect">
                          <a:avLst/>
                        </a:prstGeom>
                        <a:ln>
                          <a:noFill/>
                        </a:ln>
                      </wps:spPr>
                      <wps:txbx>
                        <w:txbxContent>
                          <w:p w14:paraId="4E438760"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65" name="Rectangle 3365"/>
                      <wps:cNvSpPr/>
                      <wps:spPr>
                        <a:xfrm>
                          <a:off x="5512308" y="142520"/>
                          <a:ext cx="42143" cy="189936"/>
                        </a:xfrm>
                        <a:prstGeom prst="rect">
                          <a:avLst/>
                        </a:prstGeom>
                        <a:ln>
                          <a:noFill/>
                        </a:ln>
                      </wps:spPr>
                      <wps:txbx>
                        <w:txbxContent>
                          <w:p w14:paraId="04EA3190"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66" name="Rectangle 3366"/>
                      <wps:cNvSpPr/>
                      <wps:spPr>
                        <a:xfrm>
                          <a:off x="5544312" y="142520"/>
                          <a:ext cx="376292" cy="189936"/>
                        </a:xfrm>
                        <a:prstGeom prst="rect">
                          <a:avLst/>
                        </a:prstGeom>
                        <a:ln>
                          <a:noFill/>
                        </a:ln>
                      </wps:spPr>
                      <wps:txbx>
                        <w:txbxContent>
                          <w:p w14:paraId="5E0B3CFE"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67" name="Rectangle 3367"/>
                      <wps:cNvSpPr/>
                      <wps:spPr>
                        <a:xfrm>
                          <a:off x="5826252" y="142520"/>
                          <a:ext cx="42144" cy="189936"/>
                        </a:xfrm>
                        <a:prstGeom prst="rect">
                          <a:avLst/>
                        </a:prstGeom>
                        <a:ln>
                          <a:noFill/>
                        </a:ln>
                      </wps:spPr>
                      <wps:txbx>
                        <w:txbxContent>
                          <w:p w14:paraId="74DCC080"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58" style="width:503.76pt;height:25.2pt;position:absolute;mso-position-horizontal-relative:page;mso-position-horizontal:absolute;margin-left:72.24pt;mso-position-vertical-relative:page;margin-top:732.058pt;" coordsize="63977,3200">
              <v:shape id="Shape 3483" style="position:absolute;width:4572;height:3200;left:59405;top:0;" coordsize="457200,320040" path="m0,0l457200,0l457200,320040l0,320040l0,0">
                <v:stroke weight="0pt" endcap="flat" joinstyle="miter" miterlimit="10" on="false" color="#000000" opacity="0"/>
                <v:fill on="true" color="#000000"/>
              </v:shape>
              <v:rect id="Rectangle 3362"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63"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4" style="position:absolute;width:59246;height:186;left:159;top:0;" coordsize="5924614,18606" path="m0,0l5924614,0l5924614,18606l0,18606l0,0">
                <v:stroke weight="0pt" endcap="flat" joinstyle="miter" miterlimit="10" on="false" color="#000000" opacity="0"/>
                <v:fill on="true" color="#000000"/>
              </v:shape>
              <v:shape id="Picture 3361" style="position:absolute;width:59176;height:2011;left:0;top:1150;" filled="f">
                <v:imagedata r:id="rId5"/>
              </v:shape>
              <v:rect id="Rectangle 3364"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65"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66"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67"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BFED"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FA8C7A" wp14:editId="2FEBF4CB">
              <wp:simplePos x="0" y="0"/>
              <wp:positionH relativeFrom="page">
                <wp:posOffset>917448</wp:posOffset>
              </wp:positionH>
              <wp:positionV relativeFrom="page">
                <wp:posOffset>9297136</wp:posOffset>
              </wp:positionV>
              <wp:extent cx="6397752" cy="320040"/>
              <wp:effectExtent l="0" t="0" r="0" b="0"/>
              <wp:wrapSquare wrapText="bothSides"/>
              <wp:docPr id="3342" name="Group 3342"/>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77" name="Shape 3477"/>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 name="Rectangle 3346"/>
                      <wps:cNvSpPr/>
                      <wps:spPr>
                        <a:xfrm>
                          <a:off x="6196584" y="100229"/>
                          <a:ext cx="120235" cy="241549"/>
                        </a:xfrm>
                        <a:prstGeom prst="rect">
                          <a:avLst/>
                        </a:prstGeom>
                        <a:ln>
                          <a:noFill/>
                        </a:ln>
                      </wps:spPr>
                      <wps:txbx>
                        <w:txbxContent>
                          <w:p w14:paraId="37D0805D"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47" name="Rectangle 3347"/>
                      <wps:cNvSpPr/>
                      <wps:spPr>
                        <a:xfrm>
                          <a:off x="6286500" y="100229"/>
                          <a:ext cx="53596" cy="241549"/>
                        </a:xfrm>
                        <a:prstGeom prst="rect">
                          <a:avLst/>
                        </a:prstGeom>
                        <a:ln>
                          <a:noFill/>
                        </a:ln>
                      </wps:spPr>
                      <wps:txbx>
                        <w:txbxContent>
                          <w:p w14:paraId="2C2FD039"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78" name="Shape 3478"/>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45" name="Picture 3345"/>
                        <pic:cNvPicPr/>
                      </pic:nvPicPr>
                      <pic:blipFill>
                        <a:blip r:embed="rId1"/>
                        <a:stretch>
                          <a:fillRect/>
                        </a:stretch>
                      </pic:blipFill>
                      <pic:spPr>
                        <a:xfrm>
                          <a:off x="0" y="115088"/>
                          <a:ext cx="5917692" cy="201168"/>
                        </a:xfrm>
                        <a:prstGeom prst="rect">
                          <a:avLst/>
                        </a:prstGeom>
                      </pic:spPr>
                    </pic:pic>
                    <wps:wsp>
                      <wps:cNvPr id="3348" name="Rectangle 3348"/>
                      <wps:cNvSpPr/>
                      <wps:spPr>
                        <a:xfrm>
                          <a:off x="4924044" y="142520"/>
                          <a:ext cx="782605" cy="189936"/>
                        </a:xfrm>
                        <a:prstGeom prst="rect">
                          <a:avLst/>
                        </a:prstGeom>
                        <a:ln>
                          <a:noFill/>
                        </a:ln>
                      </wps:spPr>
                      <wps:txbx>
                        <w:txbxContent>
                          <w:p w14:paraId="4D608A74"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49" name="Rectangle 3349"/>
                      <wps:cNvSpPr/>
                      <wps:spPr>
                        <a:xfrm>
                          <a:off x="5512308" y="142520"/>
                          <a:ext cx="42143" cy="189936"/>
                        </a:xfrm>
                        <a:prstGeom prst="rect">
                          <a:avLst/>
                        </a:prstGeom>
                        <a:ln>
                          <a:noFill/>
                        </a:ln>
                      </wps:spPr>
                      <wps:txbx>
                        <w:txbxContent>
                          <w:p w14:paraId="6E451BD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50" name="Rectangle 3350"/>
                      <wps:cNvSpPr/>
                      <wps:spPr>
                        <a:xfrm>
                          <a:off x="5544312" y="142520"/>
                          <a:ext cx="376292" cy="189936"/>
                        </a:xfrm>
                        <a:prstGeom prst="rect">
                          <a:avLst/>
                        </a:prstGeom>
                        <a:ln>
                          <a:noFill/>
                        </a:ln>
                      </wps:spPr>
                      <wps:txbx>
                        <w:txbxContent>
                          <w:p w14:paraId="0D9A735F"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51" name="Rectangle 3351"/>
                      <wps:cNvSpPr/>
                      <wps:spPr>
                        <a:xfrm>
                          <a:off x="5826252" y="142520"/>
                          <a:ext cx="42144" cy="189936"/>
                        </a:xfrm>
                        <a:prstGeom prst="rect">
                          <a:avLst/>
                        </a:prstGeom>
                        <a:ln>
                          <a:noFill/>
                        </a:ln>
                      </wps:spPr>
                      <wps:txbx>
                        <w:txbxContent>
                          <w:p w14:paraId="74BAE3E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42" style="width:503.76pt;height:25.2pt;position:absolute;mso-position-horizontal-relative:page;mso-position-horizontal:absolute;margin-left:72.24pt;mso-position-vertical-relative:page;margin-top:732.058pt;" coordsize="63977,3200">
              <v:shape id="Shape 3479" style="position:absolute;width:4572;height:3200;left:59405;top:0;" coordsize="457200,320040" path="m0,0l457200,0l457200,320040l0,320040l0,0">
                <v:stroke weight="0pt" endcap="flat" joinstyle="miter" miterlimit="10" on="false" color="#000000" opacity="0"/>
                <v:fill on="true" color="#000000"/>
              </v:shape>
              <v:rect id="Rectangle 3346"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47"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0" style="position:absolute;width:59246;height:186;left:159;top:0;" coordsize="5924614,18606" path="m0,0l5924614,0l5924614,18606l0,18606l0,0">
                <v:stroke weight="0pt" endcap="flat" joinstyle="miter" miterlimit="10" on="false" color="#000000" opacity="0"/>
                <v:fill on="true" color="#000000"/>
              </v:shape>
              <v:shape id="Picture 3345" style="position:absolute;width:59176;height:2011;left:0;top:1150;" filled="f">
                <v:imagedata r:id="rId5"/>
              </v:shape>
              <v:rect id="Rectangle 3348"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49"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50"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51"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D75F" w14:textId="77777777" w:rsidR="00982950" w:rsidRDefault="00982950">
      <w:pPr>
        <w:spacing w:after="0" w:line="240" w:lineRule="auto"/>
      </w:pPr>
      <w:r>
        <w:separator/>
      </w:r>
    </w:p>
  </w:footnote>
  <w:footnote w:type="continuationSeparator" w:id="0">
    <w:p w14:paraId="3E407CCA" w14:textId="77777777" w:rsidR="00982950" w:rsidRDefault="00982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53"/>
    <w:rsid w:val="00851512"/>
    <w:rsid w:val="00982950"/>
    <w:rsid w:val="00C01F53"/>
    <w:rsid w:val="00D3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B01"/>
  <w15:docId w15:val="{B299B01B-C065-4194-825F-BAC13A82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41" w:line="25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41" w:line="259"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popest/technical-documentation/methodology/2020-2021/methods-statement-v2021.pdf" TargetMode="External"/><Relationship Id="rId13" Type="http://schemas.openxmlformats.org/officeDocument/2006/relationships/hyperlink" Target="https://www.census.gov/topics/population.html" TargetMode="External"/><Relationship Id="rId18" Type="http://schemas.openxmlformats.org/officeDocument/2006/relationships/hyperlink" Target="https://www.acf.hhs.gov/cb/data-research/child-welfare-outcomes" TargetMode="External"/><Relationship Id="rId26" Type="http://schemas.openxmlformats.org/officeDocument/2006/relationships/hyperlink" Target="https://www.flhealthcharts.gov/ChartsDashboards/rdPage.aspx?rdReport=NonVitalIndGrp.Dataviewer&amp;cid=0296" TargetMode="External"/><Relationship Id="rId3" Type="http://schemas.openxmlformats.org/officeDocument/2006/relationships/webSettings" Target="webSettings.xml"/><Relationship Id="rId21" Type="http://schemas.openxmlformats.org/officeDocument/2006/relationships/hyperlink" Target="https://www.flhealthcharts.gov/ChartsDashboards/rdPage.aspx?rdReport=NonVitalIndGrpExtn.DataViewer&amp;cid=0552" TargetMode="External"/><Relationship Id="rId7" Type="http://schemas.openxmlformats.org/officeDocument/2006/relationships/hyperlink" Target="https://www.census.gov/topics/population.html" TargetMode="External"/><Relationship Id="rId12" Type="http://schemas.openxmlformats.org/officeDocument/2006/relationships/hyperlink" Target="https://www.census.gov/topics/population.html" TargetMode="External"/><Relationship Id="rId17" Type="http://schemas.openxmlformats.org/officeDocument/2006/relationships/hyperlink" Target="https://www.acf.hhs.gov/cb/data-research/child-welfare-outcomes" TargetMode="External"/><Relationship Id="rId25" Type="http://schemas.openxmlformats.org/officeDocument/2006/relationships/hyperlink" Target="https://www.flhealthcharts.gov/ChartsDashboards/rdPage.aspx?rdReport=NonVitalIndGrp.Dataviewer&amp;cid=0296" TargetMode="External"/><Relationship Id="rId2" Type="http://schemas.openxmlformats.org/officeDocument/2006/relationships/settings" Target="settings.xml"/><Relationship Id="rId16" Type="http://schemas.openxmlformats.org/officeDocument/2006/relationships/hyperlink" Target="https://www2.census.gov/programs-surveys/popest/technical-documentation/methodology/2020-2021/methods-statement-v2021.pdf" TargetMode="External"/><Relationship Id="rId20" Type="http://schemas.openxmlformats.org/officeDocument/2006/relationships/hyperlink" Target="https://cwoutcomes.acf.hhs.gov/cwodatasite/enteredCare/index"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ensus.gov/topics/population.html" TargetMode="External"/><Relationship Id="rId11" Type="http://schemas.openxmlformats.org/officeDocument/2006/relationships/image" Target="media/image1.png"/><Relationship Id="rId24" Type="http://schemas.openxmlformats.org/officeDocument/2006/relationships/hyperlink" Target="https://www.flhealthcharts.gov/ChartsDashboards/rdPage.aspx?rdReport=Death.DataViewer&amp;cid=0116" TargetMode="External"/><Relationship Id="rId5" Type="http://schemas.openxmlformats.org/officeDocument/2006/relationships/endnotes" Target="endnotes.xml"/><Relationship Id="rId15" Type="http://schemas.openxmlformats.org/officeDocument/2006/relationships/hyperlink" Target="https://www2.census.gov/programs-surveys/popest/technical-documentation/methodology/2020-2021/methods-statement-v2021.pdf" TargetMode="External"/><Relationship Id="rId23" Type="http://schemas.openxmlformats.org/officeDocument/2006/relationships/hyperlink" Target="https://www.flhealthcharts.gov/ChartsDashboards/rdPage.aspx?rdReport=Death.DataViewer&amp;cid=0116" TargetMode="External"/><Relationship Id="rId28" Type="http://schemas.openxmlformats.org/officeDocument/2006/relationships/footer" Target="footer2.xml"/><Relationship Id="rId10" Type="http://schemas.openxmlformats.org/officeDocument/2006/relationships/hyperlink" Target="https://www2.census.gov/programs-surveys/popest/technical-documentation/methodology/2020-2021/methods-statement-v2021.pdf" TargetMode="External"/><Relationship Id="rId19" Type="http://schemas.openxmlformats.org/officeDocument/2006/relationships/hyperlink" Target="https://cwoutcomes.acf.hhs.gov/cwodatasite/enteredCare/inde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2.census.gov/programs-surveys/popest/technical-documentation/methodology/2020-2021/methods-statement-v2021.pdf" TargetMode="External"/><Relationship Id="rId14" Type="http://schemas.openxmlformats.org/officeDocument/2006/relationships/hyperlink" Target="https://www2.census.gov/programs-surveys/popest/technical-documentation/methodology/2020-2021/methods-statement-v2021.pdf" TargetMode="External"/><Relationship Id="rId22" Type="http://schemas.openxmlformats.org/officeDocument/2006/relationships/hyperlink" Target="https://www.flhealthcharts.gov/ChartsDashboards/rdPage.aspx?rdReport=NonVitalIndGrpExtn.DataViewer&amp;cid=0552"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1125</Words>
  <Characters>7518</Characters>
  <Application>Microsoft Office Word</Application>
  <DocSecurity>0</DocSecurity>
  <Lines>234</Lines>
  <Paragraphs>141</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Sources (December 2022)</dc:title>
  <dc:subject>Data Sources (December 2022)</dc:subject>
  <dc:creator>Walsh, Caitlyn M</dc:creator>
  <cp:keywords/>
  <cp:lastModifiedBy>Walsh, Caitlyn M</cp:lastModifiedBy>
  <cp:revision>2</cp:revision>
  <dcterms:created xsi:type="dcterms:W3CDTF">2025-11-21T17:00:00Z</dcterms:created>
  <dcterms:modified xsi:type="dcterms:W3CDTF">2025-11-21T17:00:00Z</dcterms:modified>
</cp:coreProperties>
</file>