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EEC0" w14:textId="77777777" w:rsidR="00132CBE" w:rsidRPr="0011051A"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outlineLvl w:val="1"/>
        <w:rPr>
          <w:b/>
          <w:bCs/>
          <w:noProof/>
          <w:color w:val="000000"/>
          <w:sz w:val="20"/>
          <w:szCs w:val="20"/>
        </w:rPr>
      </w:pPr>
      <w:r w:rsidRPr="0011051A">
        <w:rPr>
          <w:b/>
          <w:bCs/>
          <w:noProof/>
          <w:color w:val="000000"/>
          <w:sz w:val="20"/>
          <w:szCs w:val="20"/>
        </w:rPr>
        <w:t>65E-5.1303 Discharge from Receiving and Treatment Facilities.</w:t>
      </w:r>
    </w:p>
    <w:p w14:paraId="4F1E42EC" w14:textId="77777777" w:rsidR="00132CBE" w:rsidRPr="00C36667"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rPr>
      </w:pPr>
      <w:r w:rsidRPr="00C36667">
        <w:rPr>
          <w:noProof/>
          <w:color w:val="000000"/>
          <w:sz w:val="20"/>
          <w:szCs w:val="20"/>
        </w:rPr>
        <w:t xml:space="preserve">(1) </w:t>
      </w:r>
      <w:r>
        <w:rPr>
          <w:noProof/>
          <w:color w:val="000000"/>
          <w:sz w:val="20"/>
          <w:szCs w:val="20"/>
        </w:rPr>
        <w:t>No Change.</w:t>
      </w:r>
    </w:p>
    <w:p w14:paraId="56FA2549" w14:textId="77777777" w:rsidR="00132CBE" w:rsidRPr="007A04A3"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sz w:val="20"/>
          <w:szCs w:val="20"/>
        </w:rPr>
      </w:pPr>
      <w:r>
        <w:rPr>
          <w:noProof/>
          <w:color w:val="000000"/>
          <w:sz w:val="20"/>
          <w:szCs w:val="20"/>
        </w:rPr>
        <w:t xml:space="preserve">(2) Discharge planning shall include the requirements in </w:t>
      </w:r>
      <w:r>
        <w:rPr>
          <w:noProof/>
          <w:color w:val="000000"/>
          <w:sz w:val="20"/>
          <w:szCs w:val="20"/>
          <w:u w:val="single"/>
        </w:rPr>
        <w:t>Sections</w:t>
      </w:r>
      <w:r>
        <w:rPr>
          <w:noProof/>
          <w:color w:val="000000"/>
          <w:sz w:val="20"/>
          <w:szCs w:val="20"/>
        </w:rPr>
        <w:t xml:space="preserve"> </w:t>
      </w:r>
      <w:r w:rsidRPr="00D66BCF">
        <w:rPr>
          <w:strike/>
          <w:noProof/>
          <w:color w:val="000000"/>
          <w:sz w:val="20"/>
          <w:szCs w:val="20"/>
        </w:rPr>
        <w:t>Section</w:t>
      </w:r>
      <w:r>
        <w:rPr>
          <w:noProof/>
          <w:color w:val="000000"/>
          <w:sz w:val="20"/>
          <w:szCs w:val="20"/>
        </w:rPr>
        <w:t xml:space="preserve"> 394.468(2) </w:t>
      </w:r>
      <w:r>
        <w:rPr>
          <w:noProof/>
          <w:color w:val="000000"/>
          <w:sz w:val="20"/>
          <w:szCs w:val="20"/>
          <w:u w:val="single"/>
        </w:rPr>
        <w:t>and (3)</w:t>
      </w:r>
      <w:r>
        <w:rPr>
          <w:noProof/>
          <w:color w:val="000000"/>
          <w:sz w:val="20"/>
          <w:szCs w:val="20"/>
        </w:rPr>
        <w:t xml:space="preserve">, F.S. In addition, the facility </w:t>
      </w:r>
      <w:r>
        <w:rPr>
          <w:noProof/>
          <w:color w:val="000000"/>
          <w:sz w:val="20"/>
          <w:szCs w:val="20"/>
          <w:u w:val="single"/>
        </w:rPr>
        <w:t>must provide the individual being discharged with</w:t>
      </w:r>
      <w:r w:rsidRPr="007A04A3">
        <w:rPr>
          <w:sz w:val="20"/>
          <w:szCs w:val="20"/>
        </w:rPr>
        <w:t xml:space="preserve"> </w:t>
      </w:r>
      <w:r w:rsidRPr="007A04A3">
        <w:rPr>
          <w:strike/>
          <w:sz w:val="20"/>
          <w:szCs w:val="20"/>
        </w:rPr>
        <w:t>shall document consideration of</w:t>
      </w:r>
      <w:r w:rsidRPr="007A04A3">
        <w:rPr>
          <w:sz w:val="20"/>
          <w:szCs w:val="20"/>
        </w:rPr>
        <w:t xml:space="preserve"> the following:</w:t>
      </w:r>
    </w:p>
    <w:p w14:paraId="55753B48" w14:textId="77777777" w:rsidR="00132CBE" w:rsidRPr="0039781C" w:rsidRDefault="00132CBE" w:rsidP="00132CBE">
      <w:pPr>
        <w:spacing w:line="480" w:lineRule="auto"/>
        <w:ind w:firstLine="360"/>
        <w:rPr>
          <w:strike/>
          <w:sz w:val="20"/>
          <w:szCs w:val="20"/>
        </w:rPr>
      </w:pPr>
      <w:r w:rsidRPr="0039781C">
        <w:rPr>
          <w:strike/>
          <w:sz w:val="20"/>
          <w:szCs w:val="20"/>
        </w:rPr>
        <w:t xml:space="preserve">(a)  The individual’s transportation </w:t>
      </w:r>
      <w:proofErr w:type="gramStart"/>
      <w:r w:rsidRPr="0039781C">
        <w:rPr>
          <w:strike/>
          <w:sz w:val="20"/>
          <w:szCs w:val="20"/>
        </w:rPr>
        <w:t>resources;</w:t>
      </w:r>
      <w:proofErr w:type="gramEnd"/>
    </w:p>
    <w:p w14:paraId="0D702A3A" w14:textId="77777777" w:rsidR="00132CBE" w:rsidRPr="0039781C" w:rsidRDefault="00132CBE" w:rsidP="00132CBE">
      <w:pPr>
        <w:spacing w:line="480" w:lineRule="auto"/>
        <w:ind w:firstLine="360"/>
        <w:rPr>
          <w:strike/>
          <w:sz w:val="20"/>
          <w:szCs w:val="20"/>
        </w:rPr>
      </w:pPr>
      <w:r w:rsidRPr="0039781C">
        <w:rPr>
          <w:strike/>
          <w:sz w:val="20"/>
          <w:szCs w:val="20"/>
        </w:rPr>
        <w:t xml:space="preserve">(b) The individual’s access to stable living </w:t>
      </w:r>
      <w:bookmarkStart w:id="0" w:name="_Int_qRaVaS78"/>
      <w:proofErr w:type="gramStart"/>
      <w:r w:rsidRPr="0039781C">
        <w:rPr>
          <w:strike/>
          <w:sz w:val="20"/>
          <w:szCs w:val="20"/>
        </w:rPr>
        <w:t>arrangements;</w:t>
      </w:r>
      <w:bookmarkEnd w:id="0"/>
      <w:proofErr w:type="gramEnd"/>
    </w:p>
    <w:p w14:paraId="2310AA38" w14:textId="77777777" w:rsidR="00132CBE" w:rsidRPr="0039781C" w:rsidRDefault="00132CBE" w:rsidP="00132CBE">
      <w:pPr>
        <w:spacing w:line="480" w:lineRule="auto"/>
        <w:ind w:firstLine="360"/>
        <w:rPr>
          <w:strike/>
          <w:sz w:val="20"/>
          <w:szCs w:val="20"/>
        </w:rPr>
      </w:pPr>
      <w:r w:rsidRPr="0039781C">
        <w:rPr>
          <w:strike/>
          <w:sz w:val="20"/>
          <w:szCs w:val="20"/>
        </w:rPr>
        <w:t xml:space="preserve">(c) How assistance in securing needed living arrangements or shelter will be provided to individuals who are at risk of re-admission within the next 3 weeks due to homelessness or transient status and prior to discharge shall request a commitment from a shelter provider that assistance will be </w:t>
      </w:r>
      <w:proofErr w:type="gramStart"/>
      <w:r w:rsidRPr="0039781C">
        <w:rPr>
          <w:strike/>
          <w:sz w:val="20"/>
          <w:szCs w:val="20"/>
        </w:rPr>
        <w:t>rendered;</w:t>
      </w:r>
      <w:proofErr w:type="gramEnd"/>
    </w:p>
    <w:p w14:paraId="515EF432" w14:textId="77777777" w:rsidR="00132CBE" w:rsidRPr="00C36667"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noProof/>
          <w:color w:val="000000"/>
          <w:sz w:val="20"/>
          <w:szCs w:val="20"/>
        </w:rPr>
      </w:pPr>
      <w:r w:rsidRPr="0039781C">
        <w:rPr>
          <w:sz w:val="20"/>
          <w:szCs w:val="20"/>
          <w:u w:val="single"/>
        </w:rPr>
        <w:t>(a)</w:t>
      </w:r>
      <w:r w:rsidRPr="0039781C">
        <w:rPr>
          <w:strike/>
          <w:sz w:val="20"/>
          <w:szCs w:val="20"/>
        </w:rPr>
        <w:t>(d)</w:t>
      </w:r>
      <w:r w:rsidRPr="001432A2">
        <w:rPr>
          <w:noProof/>
          <w:color w:val="000000"/>
          <w:sz w:val="20"/>
          <w:szCs w:val="20"/>
        </w:rPr>
        <w:t xml:space="preserve"> Assistance in obtaining a timely aftercare appointment for needed services, including continuation of prescribed psychotropic medications. Aftercare appointments for psychotropic medication, and care coordination or case management shall be </w:t>
      </w:r>
      <w:r w:rsidRPr="001432A2">
        <w:rPr>
          <w:noProof/>
          <w:color w:val="000000"/>
          <w:sz w:val="20"/>
          <w:szCs w:val="20"/>
          <w:u w:val="single"/>
        </w:rPr>
        <w:t>scheduled</w:t>
      </w:r>
      <w:r w:rsidRPr="001432A2">
        <w:rPr>
          <w:noProof/>
          <w:color w:val="000000"/>
          <w:sz w:val="20"/>
          <w:szCs w:val="20"/>
        </w:rPr>
        <w:t xml:space="preserve"> </w:t>
      </w:r>
      <w:r w:rsidRPr="001432A2">
        <w:rPr>
          <w:strike/>
          <w:noProof/>
          <w:color w:val="000000"/>
          <w:sz w:val="20"/>
          <w:szCs w:val="20"/>
        </w:rPr>
        <w:t>requested</w:t>
      </w:r>
      <w:r w:rsidRPr="001432A2">
        <w:rPr>
          <w:noProof/>
          <w:color w:val="000000"/>
          <w:sz w:val="20"/>
          <w:szCs w:val="20"/>
        </w:rPr>
        <w:t xml:space="preserve"> to occur not later than seven (7) days after the expected date of discharge. If the discharge is delayed, the facility shall notify the aftercare provider. The facility shall coordinate with the aftercare service provider and shall document the aftercare planning;</w:t>
      </w:r>
    </w:p>
    <w:p w14:paraId="42CAF170" w14:textId="77777777" w:rsidR="00132CBE" w:rsidRPr="00C36667"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noProof/>
          <w:color w:val="000000"/>
          <w:sz w:val="20"/>
          <w:szCs w:val="20"/>
        </w:rPr>
      </w:pPr>
      <w:r w:rsidRPr="0039781C">
        <w:rPr>
          <w:noProof/>
          <w:color w:val="000000"/>
          <w:sz w:val="20"/>
          <w:szCs w:val="20"/>
          <w:u w:val="single"/>
        </w:rPr>
        <w:t>(b)</w:t>
      </w:r>
      <w:r w:rsidRPr="0039781C">
        <w:rPr>
          <w:strike/>
          <w:sz w:val="20"/>
          <w:szCs w:val="20"/>
        </w:rPr>
        <w:t xml:space="preserve">(e) </w:t>
      </w:r>
      <w:r w:rsidRPr="0039781C">
        <w:rPr>
          <w:strike/>
          <w:noProof/>
          <w:color w:val="000000"/>
          <w:sz w:val="20"/>
          <w:szCs w:val="20"/>
        </w:rPr>
        <w:t xml:space="preserve">To ensure an individual’s safety and provide continuity of prescribed psychotropic medications, such </w:t>
      </w:r>
      <w:r>
        <w:rPr>
          <w:noProof/>
          <w:color w:val="000000"/>
          <w:sz w:val="20"/>
          <w:szCs w:val="20"/>
        </w:rPr>
        <w:t xml:space="preserve"> </w:t>
      </w:r>
      <w:r w:rsidRPr="0039781C">
        <w:rPr>
          <w:noProof/>
          <w:color w:val="000000"/>
          <w:sz w:val="20"/>
          <w:szCs w:val="20"/>
          <w:u w:val="single"/>
        </w:rPr>
        <w:t>P</w:t>
      </w:r>
      <w:r w:rsidRPr="0039781C">
        <w:rPr>
          <w:strike/>
          <w:noProof/>
          <w:color w:val="000000"/>
          <w:sz w:val="20"/>
          <w:szCs w:val="20"/>
        </w:rPr>
        <w:t>p</w:t>
      </w:r>
      <w:r w:rsidRPr="0039781C">
        <w:rPr>
          <w:noProof/>
          <w:color w:val="000000"/>
          <w:sz w:val="20"/>
          <w:szCs w:val="20"/>
        </w:rPr>
        <w:t>rescribed</w:t>
      </w:r>
      <w:r>
        <w:rPr>
          <w:noProof/>
          <w:color w:val="000000"/>
          <w:sz w:val="20"/>
          <w:szCs w:val="20"/>
        </w:rPr>
        <w:t xml:space="preserve"> psychotropic medications, prescriptions, or multiple partial prescriptions for psychotropic medications, or a combination thereof, </w:t>
      </w:r>
      <w:r w:rsidRPr="0039781C">
        <w:rPr>
          <w:strike/>
          <w:noProof/>
          <w:color w:val="000000"/>
          <w:sz w:val="20"/>
          <w:szCs w:val="20"/>
        </w:rPr>
        <w:t>shall be provided to an individual</w:t>
      </w:r>
      <w:r>
        <w:rPr>
          <w:noProof/>
          <w:color w:val="000000"/>
          <w:sz w:val="20"/>
          <w:szCs w:val="20"/>
        </w:rPr>
        <w:t xml:space="preserve"> when appropriate</w:t>
      </w:r>
      <w:r w:rsidRPr="002812FA">
        <w:rPr>
          <w:noProof/>
          <w:color w:val="000000"/>
          <w:sz w:val="20"/>
          <w:szCs w:val="20"/>
        </w:rPr>
        <w:t xml:space="preserve"> </w:t>
      </w:r>
      <w:r>
        <w:rPr>
          <w:noProof/>
          <w:color w:val="000000"/>
          <w:sz w:val="20"/>
          <w:szCs w:val="20"/>
          <w:u w:val="single"/>
        </w:rPr>
        <w:t>upon discharge</w:t>
      </w:r>
      <w:r>
        <w:rPr>
          <w:noProof/>
          <w:color w:val="000000"/>
          <w:sz w:val="20"/>
          <w:szCs w:val="20"/>
        </w:rPr>
        <w:t xml:space="preserve"> </w:t>
      </w:r>
      <w:r w:rsidRPr="0039781C">
        <w:rPr>
          <w:strike/>
          <w:noProof/>
          <w:color w:val="000000"/>
          <w:sz w:val="20"/>
          <w:szCs w:val="20"/>
        </w:rPr>
        <w:t>when discharged</w:t>
      </w:r>
      <w:r w:rsidRPr="002812FA">
        <w:rPr>
          <w:noProof/>
          <w:color w:val="000000"/>
          <w:sz w:val="20"/>
          <w:szCs w:val="20"/>
        </w:rPr>
        <w:t xml:space="preserve"> </w:t>
      </w:r>
      <w:r>
        <w:rPr>
          <w:noProof/>
          <w:color w:val="000000"/>
          <w:sz w:val="20"/>
          <w:szCs w:val="20"/>
        </w:rPr>
        <w:t>to cover the intervening days until the first scheduled psychotropic medication aftercare appointment. Discharge planning shall address the availability of and access to prescribed psychotropic medications in the community;</w:t>
      </w:r>
    </w:p>
    <w:p w14:paraId="7E9D3644" w14:textId="77777777" w:rsidR="00132CBE" w:rsidRPr="00C36667"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rPr>
      </w:pPr>
      <w:r w:rsidRPr="001D7503">
        <w:rPr>
          <w:noProof/>
          <w:color w:val="000000"/>
          <w:sz w:val="20"/>
          <w:szCs w:val="20"/>
          <w:u w:val="single"/>
        </w:rPr>
        <w:t>(c)</w:t>
      </w:r>
      <w:r w:rsidRPr="001D7503">
        <w:rPr>
          <w:strike/>
          <w:sz w:val="20"/>
          <w:szCs w:val="20"/>
        </w:rPr>
        <w:t>(f)</w:t>
      </w:r>
      <w:r w:rsidRPr="001D7503">
        <w:rPr>
          <w:strike/>
          <w:noProof/>
          <w:color w:val="000000"/>
          <w:sz w:val="20"/>
          <w:szCs w:val="20"/>
        </w:rPr>
        <w:t xml:space="preserve"> The individual shall be provided</w:t>
      </w:r>
      <w:r>
        <w:rPr>
          <w:noProof/>
          <w:color w:val="000000"/>
          <w:sz w:val="20"/>
          <w:szCs w:val="20"/>
        </w:rPr>
        <w:t xml:space="preserve"> </w:t>
      </w:r>
      <w:r w:rsidRPr="001D7503">
        <w:rPr>
          <w:noProof/>
          <w:color w:val="000000"/>
          <w:sz w:val="20"/>
          <w:szCs w:val="20"/>
          <w:u w:val="single"/>
        </w:rPr>
        <w:t>E</w:t>
      </w:r>
      <w:r w:rsidRPr="001D7503">
        <w:rPr>
          <w:strike/>
          <w:noProof/>
          <w:color w:val="000000"/>
          <w:sz w:val="20"/>
          <w:szCs w:val="20"/>
        </w:rPr>
        <w:t>e</w:t>
      </w:r>
      <w:r>
        <w:rPr>
          <w:noProof/>
          <w:color w:val="000000"/>
          <w:sz w:val="20"/>
          <w:szCs w:val="20"/>
        </w:rPr>
        <w:t>ducation and written information about his or her illness and psychotropic medications</w:t>
      </w:r>
      <w:r w:rsidRPr="001D7503">
        <w:rPr>
          <w:noProof/>
          <w:color w:val="000000"/>
          <w:sz w:val="20"/>
          <w:szCs w:val="20"/>
          <w:u w:val="single"/>
        </w:rPr>
        <w:t>,</w:t>
      </w:r>
      <w:r>
        <w:rPr>
          <w:noProof/>
          <w:color w:val="000000"/>
          <w:sz w:val="20"/>
          <w:szCs w:val="20"/>
        </w:rPr>
        <w:t xml:space="preserve"> </w:t>
      </w:r>
      <w:r w:rsidRPr="001D7503">
        <w:rPr>
          <w:strike/>
          <w:noProof/>
          <w:color w:val="000000"/>
          <w:sz w:val="20"/>
          <w:szCs w:val="20"/>
        </w:rPr>
        <w:t>including</w:t>
      </w:r>
      <w:r>
        <w:rPr>
          <w:noProof/>
          <w:color w:val="000000"/>
          <w:sz w:val="20"/>
          <w:szCs w:val="20"/>
        </w:rPr>
        <w:t xml:space="preserve"> other prescribed and over-the-counter medications, the common side-effects of any medications prescribed and any adverse clinically significant drug-to-drug interactions common between that medication and other commonly available prescribed and over-the-counter medications;</w:t>
      </w:r>
    </w:p>
    <w:p w14:paraId="7037D413" w14:textId="77777777" w:rsidR="00132CBE" w:rsidRPr="006100AE"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noProof/>
          <w:color w:val="000000"/>
          <w:sz w:val="20"/>
          <w:szCs w:val="20"/>
        </w:rPr>
      </w:pPr>
      <w:r w:rsidRPr="001D7503">
        <w:rPr>
          <w:noProof/>
          <w:color w:val="000000"/>
          <w:sz w:val="20"/>
          <w:szCs w:val="20"/>
          <w:u w:val="single"/>
        </w:rPr>
        <w:t>(d)</w:t>
      </w:r>
      <w:r w:rsidRPr="001D7503">
        <w:rPr>
          <w:strike/>
          <w:noProof/>
          <w:color w:val="000000"/>
          <w:sz w:val="20"/>
          <w:szCs w:val="20"/>
        </w:rPr>
        <w:t>(g</w:t>
      </w:r>
      <w:r w:rsidRPr="00B3696E">
        <w:rPr>
          <w:strike/>
          <w:noProof/>
          <w:color w:val="000000"/>
          <w:sz w:val="20"/>
          <w:szCs w:val="20"/>
        </w:rPr>
        <w:t>)  The</w:t>
      </w:r>
      <w:r w:rsidRPr="001D7503">
        <w:rPr>
          <w:strike/>
          <w:noProof/>
          <w:color w:val="000000"/>
          <w:sz w:val="20"/>
          <w:szCs w:val="20"/>
        </w:rPr>
        <w:t xml:space="preserve"> individual shall be provided with</w:t>
      </w:r>
      <w:r>
        <w:rPr>
          <w:noProof/>
          <w:color w:val="000000"/>
          <w:sz w:val="20"/>
          <w:szCs w:val="20"/>
        </w:rPr>
        <w:t xml:space="preserve"> </w:t>
      </w:r>
      <w:r>
        <w:rPr>
          <w:noProof/>
          <w:color w:val="000000"/>
          <w:sz w:val="20"/>
          <w:szCs w:val="20"/>
          <w:u w:val="single"/>
        </w:rPr>
        <w:t>I</w:t>
      </w:r>
      <w:r w:rsidRPr="001D7503">
        <w:rPr>
          <w:strike/>
          <w:noProof/>
          <w:color w:val="000000"/>
          <w:sz w:val="20"/>
          <w:szCs w:val="20"/>
        </w:rPr>
        <w:t>i</w:t>
      </w:r>
      <w:r>
        <w:rPr>
          <w:noProof/>
          <w:color w:val="000000"/>
          <w:sz w:val="20"/>
          <w:szCs w:val="20"/>
        </w:rPr>
        <w:t>nformation on</w:t>
      </w:r>
      <w:r w:rsidRPr="002812FA">
        <w:rPr>
          <w:noProof/>
          <w:color w:val="000000"/>
          <w:sz w:val="20"/>
          <w:szCs w:val="20"/>
        </w:rPr>
        <w:t xml:space="preserve"> </w:t>
      </w:r>
      <w:r w:rsidRPr="001D7503">
        <w:rPr>
          <w:strike/>
          <w:noProof/>
          <w:color w:val="000000"/>
          <w:sz w:val="20"/>
          <w:szCs w:val="20"/>
        </w:rPr>
        <w:t>any</w:t>
      </w:r>
      <w:r>
        <w:rPr>
          <w:noProof/>
          <w:color w:val="000000"/>
          <w:sz w:val="20"/>
          <w:szCs w:val="20"/>
        </w:rPr>
        <w:t xml:space="preserve"> resources, services and community-based peer support services that are available in the community</w:t>
      </w:r>
      <w:r w:rsidRPr="00376493">
        <w:rPr>
          <w:noProof/>
          <w:color w:val="000000"/>
          <w:sz w:val="20"/>
          <w:szCs w:val="20"/>
          <w:u w:val="single"/>
        </w:rPr>
        <w:t>;</w:t>
      </w:r>
      <w:r w:rsidRPr="00376493">
        <w:rPr>
          <w:strike/>
          <w:noProof/>
          <w:color w:val="000000"/>
          <w:sz w:val="20"/>
          <w:szCs w:val="20"/>
        </w:rPr>
        <w:t>.</w:t>
      </w:r>
      <w:r>
        <w:rPr>
          <w:noProof/>
          <w:color w:val="000000"/>
          <w:sz w:val="20"/>
          <w:szCs w:val="20"/>
        </w:rPr>
        <w:t xml:space="preserve"> </w:t>
      </w:r>
    </w:p>
    <w:p w14:paraId="28CFC308" w14:textId="77777777" w:rsidR="00132CBE" w:rsidRPr="00023F03"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u w:val="single"/>
        </w:rPr>
      </w:pPr>
      <w:r w:rsidRPr="001D7503">
        <w:rPr>
          <w:noProof/>
          <w:color w:val="000000"/>
          <w:sz w:val="20"/>
          <w:szCs w:val="20"/>
          <w:u w:val="single"/>
        </w:rPr>
        <w:t>(e)</w:t>
      </w:r>
      <w:r w:rsidRPr="001D7503">
        <w:rPr>
          <w:strike/>
          <w:noProof/>
          <w:color w:val="000000"/>
          <w:sz w:val="20"/>
          <w:szCs w:val="20"/>
        </w:rPr>
        <w:t>(h)</w:t>
      </w:r>
      <w:r w:rsidRPr="00376493">
        <w:rPr>
          <w:noProof/>
          <w:color w:val="000000"/>
          <w:sz w:val="20"/>
          <w:szCs w:val="20"/>
        </w:rPr>
        <w:t xml:space="preserve"> </w:t>
      </w:r>
      <w:r w:rsidRPr="00376493">
        <w:rPr>
          <w:noProof/>
          <w:color w:val="000000"/>
          <w:sz w:val="20"/>
          <w:szCs w:val="20"/>
          <w:u w:val="single"/>
        </w:rPr>
        <w:t>Refer</w:t>
      </w:r>
      <w:r>
        <w:rPr>
          <w:noProof/>
          <w:color w:val="000000"/>
          <w:sz w:val="20"/>
          <w:szCs w:val="20"/>
          <w:u w:val="single"/>
        </w:rPr>
        <w:t>r</w:t>
      </w:r>
      <w:r w:rsidRPr="00376493">
        <w:rPr>
          <w:noProof/>
          <w:color w:val="000000"/>
          <w:sz w:val="20"/>
          <w:szCs w:val="20"/>
          <w:u w:val="single"/>
        </w:rPr>
        <w:t>als</w:t>
      </w:r>
      <w:r w:rsidRPr="00AF615D">
        <w:rPr>
          <w:noProof/>
          <w:color w:val="000000"/>
          <w:sz w:val="20"/>
          <w:szCs w:val="20"/>
        </w:rPr>
        <w:t xml:space="preserve"> </w:t>
      </w:r>
      <w:r w:rsidRPr="001D7503">
        <w:rPr>
          <w:strike/>
          <w:noProof/>
          <w:color w:val="000000"/>
          <w:sz w:val="20"/>
          <w:szCs w:val="20"/>
        </w:rPr>
        <w:t>The individual shall be referred</w:t>
      </w:r>
      <w:r>
        <w:rPr>
          <w:noProof/>
          <w:color w:val="000000"/>
          <w:sz w:val="20"/>
          <w:szCs w:val="20"/>
        </w:rPr>
        <w:t xml:space="preserve"> to substance use treatment programs, trauma or abuse recovery focused </w:t>
      </w:r>
      <w:r w:rsidRPr="00376493">
        <w:rPr>
          <w:noProof/>
          <w:color w:val="000000"/>
          <w:sz w:val="20"/>
          <w:szCs w:val="20"/>
        </w:rPr>
        <w:t>programs, or</w:t>
      </w:r>
      <w:r w:rsidRPr="00023F03">
        <w:rPr>
          <w:noProof/>
          <w:color w:val="000000"/>
          <w:sz w:val="20"/>
          <w:szCs w:val="20"/>
          <w:u w:val="single"/>
        </w:rPr>
        <w:t xml:space="preserve"> </w:t>
      </w:r>
      <w:r w:rsidRPr="00376493">
        <w:rPr>
          <w:noProof/>
          <w:color w:val="000000"/>
          <w:sz w:val="20"/>
          <w:szCs w:val="20"/>
        </w:rPr>
        <w:t>other self-help groups, if indicated by assessments;</w:t>
      </w:r>
    </w:p>
    <w:p w14:paraId="4579D390" w14:textId="77777777" w:rsidR="00132CBE"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rPr>
      </w:pPr>
      <w:r w:rsidRPr="00376493">
        <w:rPr>
          <w:noProof/>
          <w:color w:val="000000"/>
          <w:sz w:val="20"/>
          <w:szCs w:val="20"/>
          <w:u w:val="single"/>
        </w:rPr>
        <w:t>(f)</w:t>
      </w:r>
      <w:r w:rsidRPr="00376493">
        <w:rPr>
          <w:strike/>
          <w:noProof/>
          <w:color w:val="000000"/>
          <w:sz w:val="20"/>
          <w:szCs w:val="20"/>
        </w:rPr>
        <w:t>(i) The individual shall be provided with</w:t>
      </w:r>
      <w:r>
        <w:rPr>
          <w:noProof/>
          <w:color w:val="000000"/>
          <w:sz w:val="20"/>
          <w:szCs w:val="20"/>
        </w:rPr>
        <w:t xml:space="preserve"> </w:t>
      </w:r>
      <w:r w:rsidRPr="00376493">
        <w:rPr>
          <w:noProof/>
          <w:color w:val="000000"/>
          <w:sz w:val="20"/>
          <w:szCs w:val="20"/>
          <w:u w:val="single"/>
        </w:rPr>
        <w:t>R</w:t>
      </w:r>
      <w:r w:rsidRPr="00376493">
        <w:rPr>
          <w:strike/>
          <w:noProof/>
          <w:color w:val="000000"/>
          <w:sz w:val="20"/>
          <w:szCs w:val="20"/>
        </w:rPr>
        <w:t>r</w:t>
      </w:r>
      <w:r>
        <w:rPr>
          <w:noProof/>
          <w:color w:val="000000"/>
          <w:sz w:val="20"/>
          <w:szCs w:val="20"/>
        </w:rPr>
        <w:t>esource information on the</w:t>
      </w:r>
      <w:r w:rsidRPr="00B3696E">
        <w:rPr>
          <w:noProof/>
          <w:color w:val="000000"/>
          <w:sz w:val="20"/>
          <w:szCs w:val="20"/>
        </w:rPr>
        <w:t xml:space="preserve"> </w:t>
      </w:r>
      <w:r w:rsidRPr="00B3696E">
        <w:rPr>
          <w:noProof/>
          <w:sz w:val="20"/>
          <w:szCs w:val="20"/>
          <w:u w:val="single"/>
        </w:rPr>
        <w:t>988 Florida Lifeline</w:t>
      </w:r>
      <w:r>
        <w:rPr>
          <w:noProof/>
          <w:color w:val="000000"/>
          <w:sz w:val="20"/>
          <w:szCs w:val="20"/>
        </w:rPr>
        <w:t xml:space="preserve"> </w:t>
      </w:r>
      <w:r w:rsidRPr="00EB60E4">
        <w:rPr>
          <w:strike/>
          <w:noProof/>
          <w:color w:val="000000"/>
          <w:sz w:val="20"/>
          <w:szCs w:val="20"/>
        </w:rPr>
        <w:t xml:space="preserve">National Suicide </w:t>
      </w:r>
      <w:r w:rsidRPr="00EB60E4">
        <w:rPr>
          <w:strike/>
          <w:noProof/>
          <w:color w:val="000000"/>
          <w:sz w:val="20"/>
          <w:szCs w:val="20"/>
        </w:rPr>
        <w:lastRenderedPageBreak/>
        <w:t>Prevention</w:t>
      </w:r>
      <w:r>
        <w:rPr>
          <w:noProof/>
          <w:color w:val="000000"/>
          <w:sz w:val="20"/>
          <w:szCs w:val="20"/>
        </w:rPr>
        <w:t xml:space="preserve"> </w:t>
      </w:r>
      <w:r w:rsidRPr="00EB60E4">
        <w:rPr>
          <w:strike/>
          <w:noProof/>
          <w:color w:val="000000"/>
          <w:sz w:val="20"/>
          <w:szCs w:val="20"/>
        </w:rPr>
        <w:t>Lifeline</w:t>
      </w:r>
      <w:r>
        <w:rPr>
          <w:noProof/>
          <w:color w:val="000000"/>
          <w:sz w:val="20"/>
          <w:szCs w:val="20"/>
        </w:rPr>
        <w:t xml:space="preserve"> and local Mobile Response Team services; </w:t>
      </w:r>
    </w:p>
    <w:p w14:paraId="6DB603FE" w14:textId="77777777" w:rsidR="00132CBE"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rPr>
      </w:pPr>
      <w:r w:rsidRPr="00376493">
        <w:rPr>
          <w:noProof/>
          <w:color w:val="000000"/>
          <w:sz w:val="20"/>
          <w:szCs w:val="20"/>
          <w:u w:val="single"/>
        </w:rPr>
        <w:t>(g)</w:t>
      </w:r>
      <w:r w:rsidRPr="00376493">
        <w:rPr>
          <w:strike/>
          <w:noProof/>
          <w:color w:val="000000"/>
          <w:sz w:val="20"/>
          <w:szCs w:val="20"/>
        </w:rPr>
        <w:t>(j) The individual shall be provided</w:t>
      </w:r>
      <w:r>
        <w:rPr>
          <w:noProof/>
          <w:color w:val="000000"/>
          <w:sz w:val="20"/>
          <w:szCs w:val="20"/>
        </w:rPr>
        <w:t xml:space="preserve"> </w:t>
      </w:r>
      <w:r w:rsidRPr="00376493">
        <w:rPr>
          <w:noProof/>
          <w:color w:val="000000"/>
          <w:sz w:val="20"/>
          <w:szCs w:val="20"/>
          <w:u w:val="single"/>
        </w:rPr>
        <w:t>I</w:t>
      </w:r>
      <w:r w:rsidRPr="00376493">
        <w:rPr>
          <w:strike/>
          <w:noProof/>
          <w:color w:val="000000"/>
          <w:sz w:val="20"/>
          <w:szCs w:val="20"/>
        </w:rPr>
        <w:t>i</w:t>
      </w:r>
      <w:r>
        <w:rPr>
          <w:noProof/>
          <w:color w:val="000000"/>
          <w:sz w:val="20"/>
          <w:szCs w:val="20"/>
        </w:rPr>
        <w:t>nformation about advance directives, including resources to assist with preparation and use; and</w:t>
      </w:r>
    </w:p>
    <w:p w14:paraId="7AC40874" w14:textId="77777777" w:rsidR="00132CBE" w:rsidRPr="007C37FD" w:rsidRDefault="00132CBE" w:rsidP="00132CBE">
      <w:pPr>
        <w:widowControl w:val="0"/>
        <w:tabs>
          <w:tab w:val="left" w:pos="360"/>
          <w:tab w:val="left" w:pos="360"/>
          <w:tab w:val="left" w:pos="360"/>
          <w:tab w:val="left" w:pos="360"/>
        </w:tabs>
        <w:overflowPunct w:val="0"/>
        <w:autoSpaceDE w:val="0"/>
        <w:autoSpaceDN w:val="0"/>
        <w:adjustRightInd w:val="0"/>
        <w:spacing w:line="480" w:lineRule="auto"/>
        <w:ind w:firstLine="360"/>
        <w:jc w:val="both"/>
        <w:textAlignment w:val="baseline"/>
        <w:rPr>
          <w:noProof/>
          <w:color w:val="000000"/>
          <w:sz w:val="20"/>
          <w:szCs w:val="20"/>
        </w:rPr>
      </w:pPr>
      <w:r w:rsidRPr="007C37FD">
        <w:rPr>
          <w:noProof/>
          <w:color w:val="000000"/>
          <w:sz w:val="20"/>
          <w:szCs w:val="20"/>
        </w:rPr>
        <w:t xml:space="preserve">(k) is redesignated (h) No change. </w:t>
      </w:r>
    </w:p>
    <w:p w14:paraId="4D853A9C" w14:textId="77777777" w:rsidR="00132CBE" w:rsidRPr="00371C44" w:rsidRDefault="00132CBE" w:rsidP="00132CBE">
      <w:pPr>
        <w:spacing w:line="480" w:lineRule="auto"/>
        <w:ind w:firstLine="360"/>
        <w:rPr>
          <w:strike/>
          <w:sz w:val="20"/>
          <w:szCs w:val="20"/>
        </w:rPr>
      </w:pPr>
      <w:r w:rsidRPr="00371C44">
        <w:rPr>
          <w:strike/>
          <w:sz w:val="20"/>
          <w:szCs w:val="20"/>
        </w:rPr>
        <w:t>(l) The facility staff shall assist the individual in making appointments, upon request or when indicated.</w:t>
      </w:r>
    </w:p>
    <w:p w14:paraId="0B263EE1" w14:textId="77777777" w:rsidR="00132CBE" w:rsidRPr="00371C44" w:rsidRDefault="00132CBE" w:rsidP="00132CBE">
      <w:pPr>
        <w:spacing w:line="480" w:lineRule="auto"/>
        <w:ind w:firstLine="360"/>
        <w:rPr>
          <w:sz w:val="20"/>
          <w:szCs w:val="20"/>
        </w:rPr>
      </w:pPr>
      <w:r w:rsidRPr="00371C44">
        <w:rPr>
          <w:sz w:val="20"/>
          <w:szCs w:val="20"/>
        </w:rPr>
        <w:t xml:space="preserve">(3) Receiving and treatment facilities shall have written discharge </w:t>
      </w:r>
      <w:r w:rsidRPr="00B76C2E">
        <w:rPr>
          <w:sz w:val="20"/>
          <w:szCs w:val="20"/>
          <w:u w:val="single"/>
        </w:rPr>
        <w:t>planning</w:t>
      </w:r>
      <w:r w:rsidRPr="00371C44">
        <w:rPr>
          <w:sz w:val="20"/>
          <w:szCs w:val="20"/>
        </w:rPr>
        <w:t xml:space="preserve"> policies and procedures</w:t>
      </w:r>
      <w:r>
        <w:rPr>
          <w:sz w:val="20"/>
          <w:szCs w:val="20"/>
        </w:rPr>
        <w:t xml:space="preserve"> </w:t>
      </w:r>
      <w:r>
        <w:rPr>
          <w:sz w:val="20"/>
          <w:szCs w:val="20"/>
          <w:u w:val="single"/>
        </w:rPr>
        <w:t>in accordance with Section 394.468(3), F.S</w:t>
      </w:r>
      <w:r w:rsidRPr="007C37FD">
        <w:rPr>
          <w:sz w:val="20"/>
          <w:szCs w:val="20"/>
          <w:u w:val="single"/>
        </w:rPr>
        <w:t>. Form CF-MH 7003, (</w:t>
      </w:r>
      <w:r>
        <w:rPr>
          <w:sz w:val="20"/>
          <w:szCs w:val="20"/>
          <w:u w:val="single"/>
        </w:rPr>
        <w:t>August</w:t>
      </w:r>
      <w:r w:rsidRPr="007C37FD">
        <w:rPr>
          <w:sz w:val="20"/>
          <w:szCs w:val="20"/>
          <w:u w:val="single"/>
        </w:rPr>
        <w:t xml:space="preserve"> 2025), “Receiving Facility Discharge Information Form,” which is incorporated by reference and available at </w:t>
      </w:r>
      <w:hyperlink r:id="rId4" w:history="1">
        <w:r w:rsidRPr="009E5811">
          <w:rPr>
            <w:rStyle w:val="Hyperlink"/>
            <w:rFonts w:eastAsiaTheme="majorEastAsia"/>
            <w:sz w:val="20"/>
            <w:szCs w:val="20"/>
          </w:rPr>
          <w:t>http://flrules.org/Gateway/reference.asp?No=Ref-18638</w:t>
        </w:r>
      </w:hyperlink>
      <w:r w:rsidRPr="009E5811">
        <w:rPr>
          <w:sz w:val="20"/>
          <w:szCs w:val="20"/>
          <w:u w:val="single"/>
        </w:rPr>
        <w:t xml:space="preserve"> </w:t>
      </w:r>
      <w:r w:rsidRPr="007C37FD">
        <w:rPr>
          <w:sz w:val="20"/>
          <w:szCs w:val="20"/>
          <w:u w:val="single"/>
        </w:rPr>
        <w:t>may be used for this purpose. Discharge planning policies and procedures,</w:t>
      </w:r>
      <w:r>
        <w:rPr>
          <w:sz w:val="20"/>
          <w:szCs w:val="20"/>
        </w:rPr>
        <w:t xml:space="preserve"> </w:t>
      </w:r>
      <w:r w:rsidRPr="007C37FD">
        <w:rPr>
          <w:strike/>
          <w:sz w:val="20"/>
          <w:szCs w:val="20"/>
        </w:rPr>
        <w:t>which</w:t>
      </w:r>
      <w:r w:rsidRPr="00371C44">
        <w:rPr>
          <w:sz w:val="20"/>
          <w:szCs w:val="20"/>
        </w:rPr>
        <w:t xml:space="preserve"> shall contain:</w:t>
      </w:r>
    </w:p>
    <w:p w14:paraId="5546E6CC" w14:textId="77777777" w:rsidR="00132CBE" w:rsidRDefault="00132CBE" w:rsidP="00132CBE">
      <w:pPr>
        <w:widowControl w:val="0"/>
        <w:spacing w:line="480" w:lineRule="auto"/>
        <w:ind w:firstLine="360"/>
        <w:jc w:val="both"/>
        <w:rPr>
          <w:sz w:val="20"/>
          <w:szCs w:val="20"/>
          <w:u w:val="single"/>
        </w:rPr>
      </w:pPr>
      <w:r w:rsidRPr="00D66BCF">
        <w:rPr>
          <w:sz w:val="20"/>
          <w:szCs w:val="20"/>
        </w:rPr>
        <w:t xml:space="preserve">(a) </w:t>
      </w:r>
      <w:r>
        <w:rPr>
          <w:sz w:val="20"/>
          <w:szCs w:val="20"/>
          <w:u w:val="single"/>
        </w:rPr>
        <w:t>Th</w:t>
      </w:r>
      <w:r w:rsidRPr="2D5EDF39">
        <w:rPr>
          <w:sz w:val="20"/>
          <w:szCs w:val="20"/>
          <w:u w:val="single"/>
        </w:rPr>
        <w:t xml:space="preserve">e </w:t>
      </w:r>
      <w:r>
        <w:rPr>
          <w:sz w:val="20"/>
          <w:szCs w:val="20"/>
          <w:u w:val="single"/>
        </w:rPr>
        <w:t xml:space="preserve">process for </w:t>
      </w:r>
      <w:r w:rsidRPr="2D5EDF39">
        <w:rPr>
          <w:sz w:val="20"/>
          <w:szCs w:val="20"/>
          <w:u w:val="single"/>
        </w:rPr>
        <w:t xml:space="preserve">coordination of individual discharge plans </w:t>
      </w:r>
      <w:r>
        <w:rPr>
          <w:sz w:val="20"/>
          <w:szCs w:val="20"/>
          <w:u w:val="single"/>
        </w:rPr>
        <w:t xml:space="preserve">and communication with family members </w:t>
      </w:r>
      <w:r w:rsidRPr="0066664D">
        <w:rPr>
          <w:strike/>
          <w:sz w:val="20"/>
          <w:szCs w:val="20"/>
        </w:rPr>
        <w:t xml:space="preserve">Agreements or protocols for transfer and transportation arrangements between </w:t>
      </w:r>
      <w:proofErr w:type="gramStart"/>
      <w:r w:rsidRPr="0066664D">
        <w:rPr>
          <w:strike/>
          <w:sz w:val="20"/>
          <w:szCs w:val="20"/>
        </w:rPr>
        <w:t>facilities</w:t>
      </w:r>
      <w:r w:rsidRPr="0066664D">
        <w:rPr>
          <w:sz w:val="20"/>
          <w:szCs w:val="20"/>
        </w:rPr>
        <w:t>;</w:t>
      </w:r>
      <w:proofErr w:type="gramEnd"/>
      <w:r w:rsidRPr="00633550">
        <w:rPr>
          <w:sz w:val="20"/>
          <w:szCs w:val="20"/>
          <w:u w:val="single"/>
        </w:rPr>
        <w:t xml:space="preserve"> </w:t>
      </w:r>
    </w:p>
    <w:p w14:paraId="1C110EA2" w14:textId="77777777" w:rsidR="00132CBE" w:rsidRDefault="00132CBE" w:rsidP="00132CBE">
      <w:pPr>
        <w:widowControl w:val="0"/>
        <w:spacing w:line="480" w:lineRule="auto"/>
        <w:ind w:firstLine="360"/>
        <w:jc w:val="both"/>
        <w:rPr>
          <w:sz w:val="20"/>
          <w:szCs w:val="20"/>
          <w:u w:val="single"/>
        </w:rPr>
      </w:pPr>
      <w:r w:rsidRPr="00D66BCF">
        <w:rPr>
          <w:sz w:val="20"/>
          <w:szCs w:val="20"/>
        </w:rPr>
        <w:t xml:space="preserve">(b) </w:t>
      </w:r>
      <w:r>
        <w:rPr>
          <w:sz w:val="20"/>
          <w:szCs w:val="20"/>
          <w:u w:val="single"/>
        </w:rPr>
        <w:t>Contingency plans if</w:t>
      </w:r>
      <w:r w:rsidRPr="00B76C2E">
        <w:rPr>
          <w:sz w:val="20"/>
          <w:szCs w:val="20"/>
          <w:u w:val="single"/>
        </w:rPr>
        <w:t xml:space="preserve"> the appropriate level of care is not immediately available for the individual</w:t>
      </w:r>
      <w:r>
        <w:rPr>
          <w:sz w:val="20"/>
          <w:szCs w:val="20"/>
          <w:u w:val="single"/>
        </w:rPr>
        <w:t xml:space="preserve"> on the date of discharge. A</w:t>
      </w:r>
      <w:r w:rsidRPr="00B76C2E">
        <w:rPr>
          <w:sz w:val="20"/>
          <w:szCs w:val="20"/>
          <w:u w:val="single"/>
        </w:rPr>
        <w:t>t a minimum, the receiving facility must ensure the individual has access to interim services and</w:t>
      </w:r>
      <w:r>
        <w:rPr>
          <w:sz w:val="20"/>
          <w:szCs w:val="20"/>
          <w:u w:val="single"/>
        </w:rPr>
        <w:t xml:space="preserve"> </w:t>
      </w:r>
      <w:r w:rsidRPr="00B76C2E">
        <w:rPr>
          <w:sz w:val="20"/>
          <w:szCs w:val="20"/>
          <w:u w:val="single"/>
        </w:rPr>
        <w:t>a referral to an appropriate provider to continue care until the recommended services become available</w:t>
      </w:r>
      <w:r>
        <w:rPr>
          <w:sz w:val="20"/>
          <w:szCs w:val="20"/>
          <w:u w:val="single"/>
        </w:rPr>
        <w:t>;</w:t>
      </w:r>
      <w:r w:rsidRPr="0066664D">
        <w:rPr>
          <w:sz w:val="20"/>
          <w:szCs w:val="20"/>
        </w:rPr>
        <w:t xml:space="preserve"> </w:t>
      </w:r>
      <w:r w:rsidRPr="0066664D">
        <w:rPr>
          <w:strike/>
          <w:sz w:val="20"/>
          <w:szCs w:val="20"/>
        </w:rPr>
        <w:t>Protocols for assuring that current medical and legal information, including medication administered on the day of discharge, is transferred before or with the individual to another facility; and,</w:t>
      </w:r>
    </w:p>
    <w:p w14:paraId="556B0D41" w14:textId="77777777" w:rsidR="00132CBE" w:rsidRPr="00EB60E4" w:rsidRDefault="00132CBE" w:rsidP="00132CBE">
      <w:pPr>
        <w:widowControl w:val="0"/>
        <w:tabs>
          <w:tab w:val="left" w:pos="360"/>
          <w:tab w:val="left" w:pos="360"/>
          <w:tab w:val="left" w:pos="360"/>
          <w:tab w:val="left" w:pos="360"/>
        </w:tabs>
        <w:spacing w:line="480" w:lineRule="auto"/>
        <w:ind w:firstLine="360"/>
        <w:jc w:val="both"/>
        <w:rPr>
          <w:strike/>
          <w:sz w:val="20"/>
          <w:szCs w:val="20"/>
          <w:u w:val="single"/>
        </w:rPr>
      </w:pPr>
      <w:r w:rsidRPr="00D66BCF">
        <w:rPr>
          <w:color w:val="000000"/>
          <w:sz w:val="20"/>
          <w:szCs w:val="20"/>
        </w:rPr>
        <w:t xml:space="preserve">(c) </w:t>
      </w:r>
      <w:r>
        <w:rPr>
          <w:sz w:val="20"/>
          <w:szCs w:val="20"/>
          <w:u w:val="single"/>
        </w:rPr>
        <w:t>S</w:t>
      </w:r>
      <w:r w:rsidRPr="2D5EDF39">
        <w:rPr>
          <w:sz w:val="20"/>
          <w:szCs w:val="20"/>
          <w:u w:val="single"/>
        </w:rPr>
        <w:t>trategies outlining how the receiving facilities will thoroughly identify the needs of individuals who demonstrate high use of receiving facility services to avoid or reduce future use of crisis stabilization services</w:t>
      </w:r>
      <w:r>
        <w:rPr>
          <w:sz w:val="20"/>
          <w:szCs w:val="20"/>
          <w:u w:val="single"/>
        </w:rPr>
        <w:t>;</w:t>
      </w:r>
      <w:r w:rsidRPr="00AC6F9F">
        <w:rPr>
          <w:sz w:val="20"/>
          <w:szCs w:val="20"/>
        </w:rPr>
        <w:t xml:space="preserve"> </w:t>
      </w:r>
      <w:r w:rsidRPr="0066664D">
        <w:rPr>
          <w:strike/>
          <w:sz w:val="20"/>
          <w:szCs w:val="20"/>
        </w:rPr>
        <w:t>Policy and procedures which address continuity of services and access to necessary psychotropic medications</w:t>
      </w:r>
      <w:proofErr w:type="gramStart"/>
      <w:r w:rsidRPr="0066664D">
        <w:rPr>
          <w:strike/>
          <w:sz w:val="20"/>
          <w:szCs w:val="20"/>
        </w:rPr>
        <w:t>.</w:t>
      </w:r>
      <w:r w:rsidRPr="00AC6F9F">
        <w:rPr>
          <w:sz w:val="20"/>
          <w:szCs w:val="20"/>
          <w:u w:val="single"/>
        </w:rPr>
        <w:t>;</w:t>
      </w:r>
      <w:proofErr w:type="gramEnd"/>
      <w:r w:rsidRPr="00AC6F9F">
        <w:rPr>
          <w:sz w:val="20"/>
          <w:szCs w:val="20"/>
          <w:u w:val="single"/>
        </w:rPr>
        <w:t xml:space="preserve"> </w:t>
      </w:r>
    </w:p>
    <w:p w14:paraId="06E85D7E" w14:textId="77777777" w:rsidR="00132CBE" w:rsidRPr="0066664D" w:rsidRDefault="00132CBE" w:rsidP="00132CBE">
      <w:pPr>
        <w:widowControl w:val="0"/>
        <w:spacing w:line="480" w:lineRule="auto"/>
        <w:ind w:firstLine="360"/>
        <w:jc w:val="both"/>
        <w:rPr>
          <w:sz w:val="20"/>
          <w:szCs w:val="20"/>
          <w:u w:val="single"/>
        </w:rPr>
      </w:pPr>
      <w:r w:rsidRPr="0066664D">
        <w:rPr>
          <w:sz w:val="20"/>
          <w:szCs w:val="20"/>
          <w:u w:val="single"/>
        </w:rPr>
        <w:t xml:space="preserve">(d) Agreements or protocols for transfer and transportation arrangements between </w:t>
      </w:r>
      <w:proofErr w:type="gramStart"/>
      <w:r w:rsidRPr="0066664D">
        <w:rPr>
          <w:sz w:val="20"/>
          <w:szCs w:val="20"/>
          <w:u w:val="single"/>
        </w:rPr>
        <w:t>facilities;</w:t>
      </w:r>
      <w:proofErr w:type="gramEnd"/>
    </w:p>
    <w:p w14:paraId="1B576D50" w14:textId="77777777" w:rsidR="00132CBE" w:rsidRPr="0066664D" w:rsidRDefault="00132CBE" w:rsidP="00132CBE">
      <w:pPr>
        <w:widowControl w:val="0"/>
        <w:spacing w:line="480" w:lineRule="auto"/>
        <w:ind w:firstLine="360"/>
        <w:jc w:val="both"/>
        <w:rPr>
          <w:sz w:val="20"/>
          <w:szCs w:val="20"/>
          <w:u w:val="single"/>
        </w:rPr>
      </w:pPr>
      <w:r w:rsidRPr="0066664D">
        <w:rPr>
          <w:sz w:val="20"/>
          <w:szCs w:val="20"/>
          <w:u w:val="single"/>
        </w:rPr>
        <w:t>(e) Protocols for assuring that current medical and legal information, including medication administered on the day of discharge, is transferred before or with the individual to another facility; and,</w:t>
      </w:r>
    </w:p>
    <w:p w14:paraId="040954EE" w14:textId="77777777" w:rsidR="00132CBE" w:rsidRPr="0066664D" w:rsidRDefault="00132CBE" w:rsidP="00132CBE">
      <w:pPr>
        <w:widowControl w:val="0"/>
        <w:spacing w:line="480" w:lineRule="auto"/>
        <w:ind w:firstLine="360"/>
        <w:jc w:val="both"/>
        <w:rPr>
          <w:sz w:val="20"/>
          <w:szCs w:val="20"/>
          <w:u w:val="single"/>
        </w:rPr>
      </w:pPr>
      <w:r w:rsidRPr="0066664D">
        <w:rPr>
          <w:sz w:val="20"/>
          <w:szCs w:val="20"/>
          <w:u w:val="single"/>
        </w:rPr>
        <w:t>(f) Plans for continuity of services and access to necessary psychotropic medications.</w:t>
      </w:r>
    </w:p>
    <w:p w14:paraId="750BF125" w14:textId="77777777" w:rsidR="00132CBE" w:rsidRDefault="00132CBE" w:rsidP="00132CBE">
      <w:pPr>
        <w:widowControl w:val="0"/>
        <w:spacing w:line="480" w:lineRule="auto"/>
        <w:ind w:firstLine="360"/>
        <w:jc w:val="both"/>
        <w:rPr>
          <w:sz w:val="20"/>
          <w:szCs w:val="20"/>
        </w:rPr>
      </w:pPr>
      <w:r w:rsidRPr="335B3940">
        <w:rPr>
          <w:sz w:val="20"/>
          <w:szCs w:val="20"/>
        </w:rPr>
        <w:t>(4) When a state mental health treatment facility has established an anticipated discharge date for discharge to the community which is more than seven</w:t>
      </w:r>
      <w:r>
        <w:rPr>
          <w:sz w:val="20"/>
          <w:szCs w:val="20"/>
        </w:rPr>
        <w:t xml:space="preserve"> </w:t>
      </w:r>
      <w:r>
        <w:rPr>
          <w:sz w:val="20"/>
          <w:szCs w:val="20"/>
          <w:u w:val="single"/>
        </w:rPr>
        <w:t>(7)</w:t>
      </w:r>
      <w:r w:rsidRPr="335B3940">
        <w:rPr>
          <w:sz w:val="20"/>
          <w:szCs w:val="20"/>
        </w:rPr>
        <w:t xml:space="preserve"> days in advance of the individual’s actual discharge, at least seven (7) </w:t>
      </w:r>
      <w:proofErr w:type="spellStart"/>
      <w:r w:rsidRPr="335B3940">
        <w:rPr>
          <w:sz w:val="20"/>
          <w:szCs w:val="20"/>
        </w:rPr>
        <w:t>day</w:t>
      </w:r>
      <w:r>
        <w:rPr>
          <w:sz w:val="20"/>
          <w:szCs w:val="20"/>
        </w:rPr>
        <w:t>’</w:t>
      </w:r>
      <w:r w:rsidRPr="335B3940">
        <w:rPr>
          <w:sz w:val="20"/>
          <w:szCs w:val="20"/>
        </w:rPr>
        <w:t>s</w:t>
      </w:r>
      <w:r>
        <w:rPr>
          <w:sz w:val="20"/>
          <w:szCs w:val="20"/>
        </w:rPr>
        <w:t xml:space="preserve"> </w:t>
      </w:r>
      <w:r w:rsidRPr="335B3940">
        <w:rPr>
          <w:sz w:val="20"/>
          <w:szCs w:val="20"/>
        </w:rPr>
        <w:t>notice</w:t>
      </w:r>
      <w:proofErr w:type="spellEnd"/>
      <w:r w:rsidRPr="335B3940">
        <w:rPr>
          <w:sz w:val="20"/>
          <w:szCs w:val="20"/>
        </w:rPr>
        <w:t xml:space="preserve"> must be given to the community agency which has been assigned case management responsibility for the implementation of the individual’s discharge plan. When an impending discharge is known seven (7) days or less prior </w:t>
      </w:r>
      <w:r w:rsidRPr="335B3940">
        <w:rPr>
          <w:sz w:val="20"/>
          <w:szCs w:val="20"/>
        </w:rPr>
        <w:lastRenderedPageBreak/>
        <w:t xml:space="preserve">to the discharge, the staff of the state mental health treatment facility shall give verbal and written notice of the impending discharge to the community case management agency within one (1) working day after the decision to discharge is made. </w:t>
      </w:r>
      <w:bookmarkStart w:id="1" w:name="_Hlk206175502"/>
      <w:r w:rsidRPr="335B3940">
        <w:rPr>
          <w:sz w:val="20"/>
          <w:szCs w:val="20"/>
        </w:rPr>
        <w:t>Form CF-MH 7001,</w:t>
      </w:r>
      <w:r>
        <w:rPr>
          <w:sz w:val="20"/>
          <w:szCs w:val="20"/>
        </w:rPr>
        <w:t xml:space="preserve"> </w:t>
      </w:r>
      <w:r>
        <w:rPr>
          <w:sz w:val="20"/>
          <w:szCs w:val="20"/>
          <w:u w:val="single"/>
        </w:rPr>
        <w:t>(August 2025)</w:t>
      </w:r>
      <w:r w:rsidRPr="335B3940">
        <w:rPr>
          <w:sz w:val="20"/>
          <w:szCs w:val="20"/>
        </w:rPr>
        <w:t xml:space="preserve"> </w:t>
      </w:r>
      <w:r w:rsidRPr="00AF615D">
        <w:rPr>
          <w:strike/>
          <w:sz w:val="20"/>
          <w:szCs w:val="20"/>
        </w:rPr>
        <w:t>(</w:t>
      </w:r>
      <w:r w:rsidRPr="00EB60E4">
        <w:rPr>
          <w:strike/>
          <w:sz w:val="20"/>
          <w:szCs w:val="20"/>
        </w:rPr>
        <w:t>July 2023</w:t>
      </w:r>
      <w:r w:rsidRPr="00AF615D">
        <w:rPr>
          <w:strike/>
          <w:sz w:val="20"/>
          <w:szCs w:val="20"/>
        </w:rPr>
        <w:t>)</w:t>
      </w:r>
      <w:r w:rsidRPr="335B3940">
        <w:rPr>
          <w:sz w:val="20"/>
          <w:szCs w:val="20"/>
        </w:rPr>
        <w:t>, “State Mental Health</w:t>
      </w:r>
      <w:r>
        <w:rPr>
          <w:sz w:val="20"/>
          <w:szCs w:val="20"/>
        </w:rPr>
        <w:t xml:space="preserve"> </w:t>
      </w:r>
      <w:r>
        <w:rPr>
          <w:sz w:val="20"/>
          <w:szCs w:val="20"/>
          <w:u w:val="single"/>
        </w:rPr>
        <w:t>Treatment</w:t>
      </w:r>
      <w:r>
        <w:rPr>
          <w:sz w:val="20"/>
          <w:szCs w:val="20"/>
        </w:rPr>
        <w:t xml:space="preserve"> </w:t>
      </w:r>
      <w:r w:rsidRPr="335B3940">
        <w:rPr>
          <w:sz w:val="20"/>
          <w:szCs w:val="20"/>
        </w:rPr>
        <w:t>Facility Discharge Form,” which is incorporated by reference and available at</w:t>
      </w:r>
      <w:r>
        <w:rPr>
          <w:sz w:val="20"/>
          <w:szCs w:val="20"/>
        </w:rPr>
        <w:t xml:space="preserve"> </w:t>
      </w:r>
      <w:hyperlink r:id="rId5" w:history="1">
        <w:r w:rsidRPr="009E5811">
          <w:rPr>
            <w:rStyle w:val="Hyperlink"/>
            <w:rFonts w:eastAsiaTheme="majorEastAsia"/>
            <w:sz w:val="20"/>
            <w:szCs w:val="20"/>
          </w:rPr>
          <w:t>http://flrules.org/Gateway/reference.asp?No=Ref-18636</w:t>
        </w:r>
      </w:hyperlink>
      <w:r w:rsidRPr="335B3940">
        <w:rPr>
          <w:sz w:val="20"/>
          <w:szCs w:val="20"/>
        </w:rPr>
        <w:t xml:space="preserve"> </w:t>
      </w:r>
      <w:r w:rsidRPr="00B3696E">
        <w:rPr>
          <w:strike/>
          <w:sz w:val="20"/>
          <w:szCs w:val="20"/>
        </w:rPr>
        <w:t>https://www.flrules.org/Gateway/reference.asp?No=Ref-15787</w:t>
      </w:r>
      <w:r w:rsidRPr="335B3940">
        <w:rPr>
          <w:sz w:val="20"/>
          <w:szCs w:val="20"/>
        </w:rPr>
        <w:t>, may be used for this purpose</w:t>
      </w:r>
      <w:bookmarkEnd w:id="1"/>
      <w:r w:rsidRPr="335B3940">
        <w:rPr>
          <w:sz w:val="20"/>
          <w:szCs w:val="20"/>
        </w:rPr>
        <w:t xml:space="preserve">. </w:t>
      </w:r>
    </w:p>
    <w:p w14:paraId="662F0B9B" w14:textId="77777777" w:rsidR="00132CBE" w:rsidRPr="00A43CDE" w:rsidRDefault="00132CBE" w:rsidP="00132CBE">
      <w:pPr>
        <w:widowControl w:val="0"/>
        <w:spacing w:line="480" w:lineRule="auto"/>
        <w:ind w:firstLine="360"/>
        <w:jc w:val="both"/>
        <w:rPr>
          <w:sz w:val="20"/>
          <w:szCs w:val="20"/>
        </w:rPr>
      </w:pPr>
      <w:r w:rsidRPr="335B3940">
        <w:rPr>
          <w:sz w:val="20"/>
          <w:szCs w:val="20"/>
        </w:rPr>
        <w:t xml:space="preserve">(5) On the day of discharge from a state mental health treatment facility, the referring physician, or his or her designee, </w:t>
      </w:r>
      <w:r w:rsidRPr="00093BCE">
        <w:rPr>
          <w:strike/>
          <w:sz w:val="20"/>
          <w:szCs w:val="20"/>
        </w:rPr>
        <w:t>within the requirements of section 394.4615, F.S.,</w:t>
      </w:r>
      <w:r w:rsidRPr="335B3940">
        <w:rPr>
          <w:sz w:val="20"/>
          <w:szCs w:val="20"/>
        </w:rPr>
        <w:t xml:space="preserve"> and the policies and procedures required by subsection (3) of this rule, shall immediately notify the community aftercare provider or entity responsible for dispensing or administering medications. Form CF-MH 7002, </w:t>
      </w:r>
      <w:r>
        <w:rPr>
          <w:sz w:val="20"/>
          <w:szCs w:val="20"/>
          <w:u w:val="single"/>
        </w:rPr>
        <w:t>(August 2025)</w:t>
      </w:r>
      <w:r>
        <w:rPr>
          <w:sz w:val="20"/>
          <w:szCs w:val="20"/>
        </w:rPr>
        <w:t xml:space="preserve"> </w:t>
      </w:r>
      <w:r w:rsidRPr="00AF615D">
        <w:rPr>
          <w:strike/>
          <w:sz w:val="20"/>
          <w:szCs w:val="20"/>
        </w:rPr>
        <w:t>(</w:t>
      </w:r>
      <w:r w:rsidRPr="007E4632">
        <w:rPr>
          <w:strike/>
          <w:sz w:val="20"/>
          <w:szCs w:val="20"/>
        </w:rPr>
        <w:t xml:space="preserve">July </w:t>
      </w:r>
      <w:r w:rsidRPr="00EB60E4">
        <w:rPr>
          <w:strike/>
          <w:sz w:val="20"/>
          <w:szCs w:val="20"/>
        </w:rPr>
        <w:t>2023</w:t>
      </w:r>
      <w:r w:rsidRPr="00AF615D">
        <w:rPr>
          <w:strike/>
          <w:sz w:val="20"/>
          <w:szCs w:val="20"/>
        </w:rPr>
        <w:t>)</w:t>
      </w:r>
      <w:r w:rsidRPr="335B3940">
        <w:rPr>
          <w:sz w:val="20"/>
          <w:szCs w:val="20"/>
        </w:rPr>
        <w:t>, “Physician to Physician Transfer,” which is incorporated by reference and available at</w:t>
      </w:r>
      <w:r>
        <w:rPr>
          <w:sz w:val="20"/>
          <w:szCs w:val="20"/>
        </w:rPr>
        <w:t xml:space="preserve"> </w:t>
      </w:r>
      <w:hyperlink r:id="rId6" w:history="1">
        <w:r w:rsidRPr="009E5811">
          <w:rPr>
            <w:rStyle w:val="Hyperlink"/>
            <w:rFonts w:eastAsiaTheme="majorEastAsia"/>
            <w:sz w:val="20"/>
            <w:szCs w:val="20"/>
          </w:rPr>
          <w:t>http://flrules.org/Gateway/reference.asp?No=Ref-18637</w:t>
        </w:r>
      </w:hyperlink>
      <w:r>
        <w:rPr>
          <w:sz w:val="20"/>
          <w:szCs w:val="20"/>
        </w:rPr>
        <w:t xml:space="preserve"> </w:t>
      </w:r>
      <w:r w:rsidRPr="00B3696E">
        <w:rPr>
          <w:strike/>
          <w:sz w:val="20"/>
          <w:szCs w:val="20"/>
        </w:rPr>
        <w:t>https://www.flrules.org/Gateway/reference.asp?No=Ref-15788</w:t>
      </w:r>
      <w:r w:rsidRPr="335B3940">
        <w:rPr>
          <w:sz w:val="20"/>
          <w:szCs w:val="20"/>
        </w:rPr>
        <w:t>, may be used for this purpose.</w:t>
      </w:r>
    </w:p>
    <w:p w14:paraId="35DD1A31" w14:textId="77777777" w:rsidR="00132CBE" w:rsidRDefault="00132CBE" w:rsidP="00132CBE">
      <w:pPr>
        <w:widowControl w:val="0"/>
        <w:overflowPunct w:val="0"/>
        <w:autoSpaceDE w:val="0"/>
        <w:autoSpaceDN w:val="0"/>
        <w:adjustRightInd w:val="0"/>
        <w:spacing w:before="120" w:after="240" w:line="480" w:lineRule="auto"/>
        <w:jc w:val="both"/>
        <w:textAlignment w:val="baseline"/>
        <w:rPr>
          <w:noProof/>
          <w:color w:val="000000"/>
          <w:sz w:val="18"/>
          <w:szCs w:val="18"/>
        </w:rPr>
      </w:pPr>
      <w:r w:rsidRPr="001432A2">
        <w:rPr>
          <w:noProof/>
          <w:color w:val="000000"/>
          <w:sz w:val="18"/>
          <w:szCs w:val="18"/>
        </w:rPr>
        <w:t xml:space="preserve">Rulemaking Authority 394.457(5), 394.46715 FS. Law Implemented 394.4573, 394.459(11), </w:t>
      </w:r>
      <w:r w:rsidRPr="00564FF7">
        <w:rPr>
          <w:strike/>
          <w:noProof/>
          <w:color w:val="000000"/>
          <w:sz w:val="18"/>
          <w:szCs w:val="18"/>
        </w:rPr>
        <w:t>394.460,</w:t>
      </w:r>
      <w:r w:rsidRPr="00564FF7">
        <w:rPr>
          <w:noProof/>
          <w:color w:val="000000"/>
          <w:sz w:val="18"/>
          <w:szCs w:val="18"/>
        </w:rPr>
        <w:t xml:space="preserve"> </w:t>
      </w:r>
      <w:r>
        <w:rPr>
          <w:noProof/>
          <w:color w:val="000000"/>
          <w:sz w:val="18"/>
          <w:szCs w:val="18"/>
          <w:u w:val="single"/>
        </w:rPr>
        <w:t>394.468</w:t>
      </w:r>
      <w:r w:rsidRPr="001432A2">
        <w:rPr>
          <w:noProof/>
          <w:color w:val="000000"/>
          <w:sz w:val="18"/>
          <w:szCs w:val="18"/>
        </w:rPr>
        <w:t xml:space="preserve"> FS. History–New 11-29-98, Amended 4-4-05, 4-9-13, 8-23-23</w:t>
      </w:r>
      <w:r w:rsidRPr="001432A2">
        <w:rPr>
          <w:noProof/>
          <w:color w:val="000000"/>
          <w:sz w:val="18"/>
          <w:szCs w:val="18"/>
          <w:u w:val="single"/>
        </w:rPr>
        <w:t>,_______________</w:t>
      </w:r>
      <w:r w:rsidRPr="001432A2">
        <w:rPr>
          <w:noProof/>
          <w:color w:val="000000"/>
          <w:sz w:val="18"/>
          <w:szCs w:val="18"/>
        </w:rPr>
        <w:t>.</w:t>
      </w:r>
    </w:p>
    <w:p w14:paraId="4B2F4F68" w14:textId="77777777" w:rsidR="00132CBE" w:rsidRDefault="00132CBE" w:rsidP="00132CBE">
      <w:pPr>
        <w:spacing w:line="264" w:lineRule="auto"/>
        <w:jc w:val="both"/>
        <w:rPr>
          <w:rFonts w:eastAsia="Calibri"/>
          <w:sz w:val="20"/>
          <w:szCs w:val="20"/>
        </w:rPr>
      </w:pPr>
    </w:p>
    <w:p w14:paraId="71062B9C" w14:textId="77777777" w:rsidR="00132CBE" w:rsidRPr="002B6186" w:rsidRDefault="00132CBE" w:rsidP="00132CBE">
      <w:pPr>
        <w:spacing w:line="264" w:lineRule="auto"/>
        <w:jc w:val="both"/>
        <w:rPr>
          <w:rFonts w:eastAsia="Calibri"/>
          <w:sz w:val="20"/>
          <w:szCs w:val="20"/>
        </w:rPr>
      </w:pPr>
    </w:p>
    <w:p w14:paraId="01EFA731" w14:textId="77777777" w:rsidR="00163EBD" w:rsidRDefault="00163EBD"/>
    <w:sectPr w:rsidR="00163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BE"/>
    <w:rsid w:val="00132CBE"/>
    <w:rsid w:val="00163EBD"/>
    <w:rsid w:val="009A702A"/>
    <w:rsid w:val="00A2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6CB1"/>
  <w15:chartTrackingRefBased/>
  <w15:docId w15:val="{6EB1B04E-EEEF-454B-8E49-F8324FEA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2C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C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C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CB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2CB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2CB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2CB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2CB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2CB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CBE"/>
    <w:rPr>
      <w:rFonts w:eastAsiaTheme="majorEastAsia" w:cstheme="majorBidi"/>
      <w:color w:val="272727" w:themeColor="text1" w:themeTint="D8"/>
    </w:rPr>
  </w:style>
  <w:style w:type="paragraph" w:styleId="Title">
    <w:name w:val="Title"/>
    <w:basedOn w:val="Normal"/>
    <w:next w:val="Normal"/>
    <w:link w:val="TitleChar"/>
    <w:uiPriority w:val="10"/>
    <w:qFormat/>
    <w:rsid w:val="00132C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C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CB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2CBE"/>
    <w:rPr>
      <w:i/>
      <w:iCs/>
      <w:color w:val="404040" w:themeColor="text1" w:themeTint="BF"/>
    </w:rPr>
  </w:style>
  <w:style w:type="paragraph" w:styleId="ListParagraph">
    <w:name w:val="List Paragraph"/>
    <w:basedOn w:val="Normal"/>
    <w:uiPriority w:val="34"/>
    <w:qFormat/>
    <w:rsid w:val="00132CB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2CBE"/>
    <w:rPr>
      <w:i/>
      <w:iCs/>
      <w:color w:val="0F4761" w:themeColor="accent1" w:themeShade="BF"/>
    </w:rPr>
  </w:style>
  <w:style w:type="paragraph" w:styleId="IntenseQuote">
    <w:name w:val="Intense Quote"/>
    <w:basedOn w:val="Normal"/>
    <w:next w:val="Normal"/>
    <w:link w:val="IntenseQuoteChar"/>
    <w:uiPriority w:val="30"/>
    <w:qFormat/>
    <w:rsid w:val="00132C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2CBE"/>
    <w:rPr>
      <w:i/>
      <w:iCs/>
      <w:color w:val="0F4761" w:themeColor="accent1" w:themeShade="BF"/>
    </w:rPr>
  </w:style>
  <w:style w:type="character" w:styleId="IntenseReference">
    <w:name w:val="Intense Reference"/>
    <w:basedOn w:val="DefaultParagraphFont"/>
    <w:uiPriority w:val="32"/>
    <w:qFormat/>
    <w:rsid w:val="00132CBE"/>
    <w:rPr>
      <w:b/>
      <w:bCs/>
      <w:smallCaps/>
      <w:color w:val="0F4761" w:themeColor="accent1" w:themeShade="BF"/>
      <w:spacing w:val="5"/>
    </w:rPr>
  </w:style>
  <w:style w:type="character" w:styleId="Hyperlink">
    <w:name w:val="Hyperlink"/>
    <w:uiPriority w:val="99"/>
    <w:unhideWhenUsed/>
    <w:rsid w:val="00132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rules.org/Gateway/reference.asp?No=Ref-18637" TargetMode="External"/><Relationship Id="rId5" Type="http://schemas.openxmlformats.org/officeDocument/2006/relationships/hyperlink" Target="https://flrules.org/Gateway/reference.asp?No=Ref-18636" TargetMode="External"/><Relationship Id="rId4" Type="http://schemas.openxmlformats.org/officeDocument/2006/relationships/hyperlink" Target="https://flrules.org/Gateway/reference.asp?No=Ref-18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Elizabeth S</dc:creator>
  <cp:keywords/>
  <dc:description/>
  <cp:lastModifiedBy>Floyd, Elizabeth S</cp:lastModifiedBy>
  <cp:revision>1</cp:revision>
  <dcterms:created xsi:type="dcterms:W3CDTF">2025-11-10T18:55:00Z</dcterms:created>
  <dcterms:modified xsi:type="dcterms:W3CDTF">2025-11-10T18:56:00Z</dcterms:modified>
</cp:coreProperties>
</file>