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5BE" w:rsidRPr="00AB7E7A" w:rsidRDefault="00654A86" w:rsidP="004715BE">
      <w:pPr>
        <w:pStyle w:val="ListParagraph"/>
        <w:ind w:left="0"/>
        <w:contextualSpacing w:val="0"/>
        <w:jc w:val="center"/>
        <w:rPr>
          <w:rFonts w:ascii="Arial Narrow" w:hAnsi="Arial Narrow"/>
        </w:rPr>
      </w:pPr>
      <w:bookmarkStart w:id="0" w:name="_GoBack"/>
      <w:bookmarkEnd w:id="0"/>
      <w:r w:rsidRPr="00AB7E7A">
        <w:rPr>
          <w:rFonts w:ascii="Arial Narrow" w:hAnsi="Arial Narrow"/>
          <w:b/>
        </w:rPr>
        <w:t>EXHIBIT E – MINIMUM PERFORMANCE MEASURES</w:t>
      </w:r>
    </w:p>
    <w:p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9A751F">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9A751F">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rsidTr="00CE7352">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rsidR="004715BE" w:rsidRPr="00AB7E7A" w:rsidRDefault="004715BE" w:rsidP="00CE7352">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rsidTr="00CE7352">
        <w:trPr>
          <w:trHeight w:val="2438"/>
          <w:jc w:val="center"/>
        </w:trPr>
        <w:tc>
          <w:tcPr>
            <w:tcW w:w="3879" w:type="pct"/>
          </w:tcPr>
          <w:p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C-1.4</w:t>
            </w:r>
            <w:r w:rsidRPr="009A751F">
              <w:rPr>
                <w:rFonts w:ascii="Arial Narrow" w:hAnsi="Arial Narrow"/>
                <w:sz w:val="20"/>
                <w:szCs w:val="20"/>
              </w:rPr>
              <w:t xml:space="preserve"> 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rsidTr="00CE7352">
        <w:trPr>
          <w:jc w:val="center"/>
        </w:trPr>
        <w:tc>
          <w:tcPr>
            <w:tcW w:w="3879" w:type="pct"/>
          </w:tcPr>
          <w:p w:rsidR="004715BE" w:rsidRPr="009A751F" w:rsidRDefault="004715BE" w:rsidP="00CB5B1D">
            <w:pPr>
              <w:pStyle w:val="ListParagraph"/>
              <w:ind w:left="17"/>
              <w:contextualSpacing w:val="0"/>
              <w:rPr>
                <w:rFonts w:ascii="Arial Narrow" w:hAnsi="Arial Narrow"/>
                <w:sz w:val="20"/>
                <w:szCs w:val="20"/>
              </w:rPr>
            </w:pPr>
            <w:r w:rsidRPr="00AB7E7A">
              <w:rPr>
                <w:rFonts w:ascii="Arial Narrow" w:hAnsi="Arial Narrow"/>
                <w:b/>
                <w:sz w:val="20"/>
                <w:szCs w:val="20"/>
              </w:rPr>
              <w:t xml:space="preserve">Network Service Provider Compliance: </w:t>
            </w:r>
            <w:r w:rsidRPr="009A751F">
              <w:rPr>
                <w:rFonts w:ascii="Arial Narrow" w:hAnsi="Arial Narrow"/>
                <w:sz w:val="20"/>
                <w:szCs w:val="20"/>
              </w:rPr>
              <w:t>A minimum of 95% of the Managing Entity’s Network Service Providers shall demonstrate compliance with the following measure annually.</w:t>
            </w:r>
            <w:r w:rsidR="009A751F">
              <w:t xml:space="preserve"> </w:t>
            </w:r>
            <w:r w:rsidR="009A751F" w:rsidRPr="009A751F">
              <w:rPr>
                <w:rFonts w:ascii="Arial Narrow" w:hAnsi="Arial Narrow"/>
                <w:sz w:val="20"/>
                <w:szCs w:val="20"/>
              </w:rPr>
              <w:t xml:space="preserve">Progress towards attainment of this measure shall be demonstrated by the monthly submission of </w:t>
            </w:r>
            <w:r w:rsidR="009A751F" w:rsidRPr="009A751F">
              <w:rPr>
                <w:rFonts w:ascii="Arial Narrow" w:hAnsi="Arial Narrow"/>
                <w:b/>
                <w:sz w:val="20"/>
                <w:szCs w:val="20"/>
              </w:rPr>
              <w:t xml:space="preserve">Template </w:t>
            </w:r>
            <w:r w:rsidR="000529C7">
              <w:rPr>
                <w:rFonts w:ascii="Arial Narrow" w:hAnsi="Arial Narrow"/>
                <w:b/>
                <w:sz w:val="20"/>
                <w:szCs w:val="20"/>
              </w:rPr>
              <w:t>11</w:t>
            </w:r>
            <w:r w:rsidR="006C4A98" w:rsidRPr="009A751F">
              <w:rPr>
                <w:rFonts w:ascii="Arial Narrow" w:hAnsi="Arial Narrow"/>
                <w:b/>
                <w:sz w:val="20"/>
                <w:szCs w:val="20"/>
              </w:rPr>
              <w:t xml:space="preserve"> </w:t>
            </w:r>
            <w:r w:rsidR="009A751F" w:rsidRPr="009A751F">
              <w:rPr>
                <w:rFonts w:ascii="Arial Narrow" w:hAnsi="Arial Narrow"/>
                <w:b/>
                <w:sz w:val="20"/>
                <w:szCs w:val="20"/>
              </w:rPr>
              <w:t>–</w:t>
            </w:r>
            <w:r w:rsidR="00894398">
              <w:rPr>
                <w:rFonts w:ascii="Arial Narrow" w:hAnsi="Arial Narrow"/>
                <w:b/>
                <w:sz w:val="20"/>
                <w:szCs w:val="20"/>
              </w:rPr>
              <w:t xml:space="preserve"> </w:t>
            </w:r>
            <w:r w:rsidR="009A751F" w:rsidRPr="009A751F">
              <w:rPr>
                <w:rFonts w:ascii="Arial Narrow" w:hAnsi="Arial Narrow"/>
                <w:b/>
                <w:sz w:val="20"/>
                <w:szCs w:val="20"/>
              </w:rPr>
              <w:t>Managing Entity Monthly Progress Report</w:t>
            </w:r>
            <w:r w:rsidR="009A751F">
              <w:rPr>
                <w:rFonts w:ascii="Arial Narrow" w:hAnsi="Arial Narrow"/>
                <w:sz w:val="20"/>
                <w:szCs w:val="20"/>
              </w:rPr>
              <w:t>.</w:t>
            </w:r>
          </w:p>
          <w:p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 xml:space="preserve">A minimum 85% of the applicable Network Service Provider Measures established in </w:t>
            </w:r>
            <w:r w:rsidRPr="00CB5B1D">
              <w:rPr>
                <w:rFonts w:ascii="Arial Narrow" w:hAnsi="Arial Narrow"/>
                <w:b/>
                <w:sz w:val="20"/>
                <w:szCs w:val="20"/>
              </w:rPr>
              <w:t xml:space="preserve">Table </w:t>
            </w:r>
            <w:r w:rsidR="009A751F" w:rsidRPr="00CB5B1D">
              <w:rPr>
                <w:rFonts w:ascii="Arial Narrow" w:hAnsi="Arial Narrow"/>
                <w:b/>
                <w:sz w:val="20"/>
                <w:szCs w:val="20"/>
              </w:rPr>
              <w:t>4</w:t>
            </w:r>
            <w:r w:rsidRPr="009A751F">
              <w:rPr>
                <w:rFonts w:ascii="Arial Narrow" w:hAnsi="Arial Narrow"/>
                <w:sz w:val="20"/>
                <w:szCs w:val="20"/>
              </w:rPr>
              <w:t xml:space="preserve"> at the target levels for the Network Service Provider established in the subcontract. </w:t>
            </w:r>
          </w:p>
        </w:tc>
        <w:tc>
          <w:tcPr>
            <w:tcW w:w="1121" w:type="pct"/>
          </w:tcPr>
          <w:p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rsidTr="00CE7352">
        <w:trPr>
          <w:jc w:val="center"/>
        </w:trPr>
        <w:tc>
          <w:tcPr>
            <w:tcW w:w="3879" w:type="pct"/>
          </w:tcPr>
          <w:p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B1-2.3</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rsidTr="00CE7352">
        <w:trPr>
          <w:cantSplit/>
          <w:jc w:val="center"/>
        </w:trPr>
        <w:tc>
          <w:tcPr>
            <w:tcW w:w="3879" w:type="pct"/>
          </w:tcPr>
          <w:p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The Managing Entity shall meet 100% of the following requirements, by September 30:</w:t>
            </w:r>
          </w:p>
          <w:p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 demonstrated by contracts with Network Service Providers; and</w:t>
            </w:r>
          </w:p>
          <w:p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00AB7E7A" w:rsidRPr="009A751F">
              <w:rPr>
                <w:rFonts w:ascii="Arial Narrow" w:hAnsi="Arial Narrow"/>
                <w:sz w:val="20"/>
                <w:szCs w:val="20"/>
              </w:rPr>
              <w:t>.</w:t>
            </w:r>
            <w:r w:rsidRPr="009A751F">
              <w:rPr>
                <w:rFonts w:ascii="Arial Narrow" w:hAnsi="Arial Narrow"/>
                <w:b/>
                <w:sz w:val="20"/>
                <w:szCs w:val="20"/>
              </w:rPr>
              <w:t xml:space="preserve">  </w:t>
            </w:r>
          </w:p>
        </w:tc>
        <w:tc>
          <w:tcPr>
            <w:tcW w:w="1121" w:type="pct"/>
          </w:tcPr>
          <w:p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9A751F" w:rsidRPr="009A751F">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9360" w:type="dxa"/>
        <w:jc w:val="center"/>
        <w:tblLook w:val="04A0" w:firstRow="1" w:lastRow="0" w:firstColumn="1" w:lastColumn="0" w:noHBand="0" w:noVBand="1"/>
      </w:tblPr>
      <w:tblGrid>
        <w:gridCol w:w="852"/>
        <w:gridCol w:w="7400"/>
        <w:gridCol w:w="1108"/>
      </w:tblGrid>
      <w:tr w:rsidR="00AB7E7A" w:rsidRPr="00AB7E7A" w:rsidTr="00CE7352">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57" w:type="pct"/>
            <w:gridSpan w:val="3"/>
            <w:shd w:val="clear" w:color="auto" w:fill="D6E3BC" w:themeFill="accent3" w:themeFillTint="66"/>
            <w:vAlign w:val="center"/>
          </w:tcPr>
          <w:p w:rsidR="004715BE" w:rsidRPr="00AB7E7A" w:rsidRDefault="004715BE" w:rsidP="009A751F">
            <w:pPr>
              <w:keepNext/>
              <w:spacing w:before="0" w:after="0"/>
              <w:contextualSpacing/>
              <w:jc w:val="center"/>
              <w:rPr>
                <w:rFonts w:ascii="Arial Narrow" w:eastAsia="Times New Roman" w:hAnsi="Arial Narrow" w:cs="Times New Roman"/>
                <w:b/>
                <w:bCs/>
              </w:rPr>
            </w:pPr>
            <w:r w:rsidRPr="00AB7E7A">
              <w:rPr>
                <w:rFonts w:ascii="Arial Narrow" w:eastAsia="Times New Roman" w:hAnsi="Arial Narrow" w:cs="Times New Roman"/>
                <w:b/>
                <w:bCs/>
              </w:rPr>
              <w:t xml:space="preserve">Table </w:t>
            </w:r>
            <w:r w:rsidR="009A751F">
              <w:rPr>
                <w:rFonts w:ascii="Arial Narrow" w:eastAsia="Times New Roman" w:hAnsi="Arial Narrow" w:cs="Times New Roman"/>
                <w:b/>
                <w:bCs/>
              </w:rPr>
              <w:t>4</w:t>
            </w:r>
            <w:r w:rsidRPr="00AB7E7A">
              <w:rPr>
                <w:rFonts w:ascii="Arial Narrow" w:eastAsia="Times New Roman" w:hAnsi="Arial Narrow" w:cs="Times New Roman"/>
                <w:b/>
                <w:bCs/>
              </w:rPr>
              <w:t xml:space="preserve"> </w:t>
            </w:r>
            <w:r w:rsidR="00AB7E7A">
              <w:rPr>
                <w:rFonts w:ascii="Arial Narrow" w:eastAsia="Times New Roman" w:hAnsi="Arial Narrow" w:cs="Times New Roman"/>
                <w:b/>
                <w:bCs/>
              </w:rPr>
              <w:t>– N</w:t>
            </w:r>
            <w:r w:rsidRPr="00AB7E7A">
              <w:rPr>
                <w:rFonts w:ascii="Arial Narrow" w:eastAsia="Times New Roman" w:hAnsi="Arial Narrow" w:cs="Times New Roman"/>
                <w:b/>
                <w:bCs/>
              </w:rPr>
              <w:t>etwork Service Provider Measures</w:t>
            </w:r>
          </w:p>
        </w:tc>
      </w:tr>
      <w:tr w:rsidR="00AB7E7A" w:rsidRPr="00AB7E7A" w:rsidTr="00AB7E7A">
        <w:trPr>
          <w:cnfStyle w:val="100000000000" w:firstRow="1" w:lastRow="0" w:firstColumn="0" w:lastColumn="0" w:oddVBand="0" w:evenVBand="0" w:oddHBand="0" w:evenHBand="0" w:firstRowFirstColumn="0" w:firstRowLastColumn="0" w:lastRowFirstColumn="0" w:lastRowLastColumn="0"/>
          <w:trHeight w:val="269"/>
          <w:tblHeader/>
          <w:jc w:val="center"/>
        </w:trPr>
        <w:tc>
          <w:tcPr>
            <w:tcW w:w="4391" w:type="pct"/>
            <w:gridSpan w:val="2"/>
            <w:shd w:val="clear" w:color="auto" w:fill="DBE5F1" w:themeFill="accent1" w:themeFillTint="33"/>
            <w:vAlign w:val="center"/>
          </w:tcPr>
          <w:p w:rsidR="004715BE" w:rsidRPr="00AB7E7A" w:rsidRDefault="004715BE" w:rsidP="00CE7352">
            <w:pPr>
              <w:spacing w:before="0" w:after="0"/>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Target Population and Measure Description</w:t>
            </w:r>
          </w:p>
        </w:tc>
        <w:tc>
          <w:tcPr>
            <w:tcW w:w="545" w:type="pct"/>
            <w:shd w:val="clear" w:color="auto" w:fill="DBE5F1" w:themeFill="accent1" w:themeFillTint="33"/>
            <w:vAlign w:val="center"/>
          </w:tcPr>
          <w:p w:rsidR="004715BE" w:rsidRPr="00AB7E7A" w:rsidRDefault="004715BE" w:rsidP="001E67F8">
            <w:pPr>
              <w:spacing w:before="0" w:after="0"/>
              <w:ind w:left="0"/>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Network Target</w:t>
            </w:r>
          </w:p>
        </w:tc>
      </w:tr>
      <w:tr w:rsidR="00AB7E7A" w:rsidRPr="00AB7E7A" w:rsidTr="00CE7352">
        <w:trPr>
          <w:trHeight w:val="269"/>
          <w:jc w:val="center"/>
        </w:trPr>
        <w:tc>
          <w:tcPr>
            <w:tcW w:w="4957" w:type="pct"/>
            <w:gridSpan w:val="3"/>
            <w:shd w:val="clear" w:color="auto" w:fill="DBE5F1" w:themeFill="accent1" w:themeFillTint="33"/>
            <w:vAlign w:val="center"/>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b/>
                <w:bCs/>
                <w:sz w:val="20"/>
                <w:szCs w:val="20"/>
              </w:rPr>
              <w:t xml:space="preserve">Adult Community Mental Health                                                                                                                                                                               </w:t>
            </w:r>
          </w:p>
        </w:tc>
      </w:tr>
      <w:tr w:rsidR="00AB7E7A" w:rsidRPr="00AB7E7A" w:rsidTr="00AB7E7A">
        <w:trPr>
          <w:trHeight w:val="307"/>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MH003</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 xml:space="preserve">Average annual days worked for pay for adults with severe and persistent mental illness </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40</w:t>
            </w:r>
          </w:p>
        </w:tc>
      </w:tr>
      <w:tr w:rsidR="00AB7E7A" w:rsidRPr="00AB7E7A" w:rsidTr="00AB7E7A">
        <w:trPr>
          <w:trHeight w:val="312"/>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MH703</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 xml:space="preserve">Percent of adults with serious mental illness who are competitively employed </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24%</w:t>
            </w:r>
          </w:p>
        </w:tc>
      </w:tr>
      <w:tr w:rsidR="00AB7E7A" w:rsidRPr="00AB7E7A" w:rsidTr="00AB7E7A">
        <w:trPr>
          <w:trHeight w:val="305"/>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MH742</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 xml:space="preserve">Percent of adults with severe and persistent mental illnesses who live in stable housing environment </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90%</w:t>
            </w:r>
          </w:p>
        </w:tc>
      </w:tr>
      <w:tr w:rsidR="00AB7E7A" w:rsidRPr="00AB7E7A" w:rsidTr="00AB7E7A">
        <w:trPr>
          <w:trHeight w:val="312"/>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MH743</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Percent of adults in forensic involvement who live in stable housing environment</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67%</w:t>
            </w:r>
          </w:p>
        </w:tc>
      </w:tr>
      <w:tr w:rsidR="00AB7E7A" w:rsidRPr="00AB7E7A" w:rsidTr="00AB7E7A">
        <w:trPr>
          <w:trHeight w:val="312"/>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MH744</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 xml:space="preserve">Percent of adults in mental health crisis who live in stable housing environment </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86%</w:t>
            </w:r>
          </w:p>
        </w:tc>
      </w:tr>
      <w:tr w:rsidR="00AB7E7A" w:rsidRPr="00AB7E7A" w:rsidTr="00CE7352">
        <w:trPr>
          <w:trHeight w:val="217"/>
          <w:jc w:val="center"/>
        </w:trPr>
        <w:tc>
          <w:tcPr>
            <w:tcW w:w="4957" w:type="pct"/>
            <w:gridSpan w:val="3"/>
            <w:shd w:val="clear" w:color="auto" w:fill="DBE5F1" w:themeFill="accent1" w:themeFillTint="33"/>
            <w:vAlign w:val="center"/>
            <w:hideMark/>
          </w:tcPr>
          <w:p w:rsidR="004715BE" w:rsidRPr="00AB7E7A" w:rsidRDefault="004715BE" w:rsidP="00AB7E7A">
            <w:pPr>
              <w:spacing w:before="0" w:after="0"/>
              <w:ind w:left="0"/>
              <w:contextualSpacing/>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Adult Substance Abuse</w:t>
            </w:r>
          </w:p>
        </w:tc>
      </w:tr>
      <w:tr w:rsidR="00AB7E7A" w:rsidRPr="00AB7E7A" w:rsidTr="00AB7E7A">
        <w:trPr>
          <w:trHeight w:val="312"/>
          <w:jc w:val="center"/>
        </w:trPr>
        <w:tc>
          <w:tcPr>
            <w:tcW w:w="423" w:type="pct"/>
            <w:vAlign w:val="center"/>
            <w:hideMark/>
          </w:tcPr>
          <w:p w:rsidR="004715BE" w:rsidRPr="00AB7E7A" w:rsidRDefault="000E2708" w:rsidP="000E2708">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SA</w:t>
            </w:r>
            <w:r>
              <w:rPr>
                <w:rFonts w:ascii="Arial Narrow" w:eastAsia="Times New Roman" w:hAnsi="Arial Narrow" w:cs="Times New Roman"/>
                <w:b/>
                <w:bCs/>
                <w:sz w:val="20"/>
                <w:szCs w:val="20"/>
              </w:rPr>
              <w:t>753</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 xml:space="preserve">Percentage change in clients who are employed from admission to discharge </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10%</w:t>
            </w:r>
          </w:p>
        </w:tc>
      </w:tr>
      <w:tr w:rsidR="00AB7E7A" w:rsidRPr="00AB7E7A" w:rsidTr="00AB7E7A">
        <w:trPr>
          <w:trHeight w:val="269"/>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SA754</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Percent change in the number of adults arrested 30 days prior to admission versus 30 days prior to discharge</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15%</w:t>
            </w:r>
          </w:p>
        </w:tc>
      </w:tr>
      <w:tr w:rsidR="00AB7E7A" w:rsidRPr="00AB7E7A" w:rsidTr="00AB7E7A">
        <w:trPr>
          <w:trHeight w:val="312"/>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SA755</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 xml:space="preserve">Percent of adults who successfully complete substance abuse treatment services </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51%</w:t>
            </w:r>
          </w:p>
        </w:tc>
      </w:tr>
      <w:tr w:rsidR="00AB7E7A" w:rsidRPr="00AB7E7A" w:rsidTr="00AB7E7A">
        <w:trPr>
          <w:trHeight w:val="215"/>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SA756</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94%</w:t>
            </w:r>
          </w:p>
        </w:tc>
      </w:tr>
      <w:tr w:rsidR="00AB7E7A" w:rsidRPr="00AB7E7A" w:rsidTr="00CE7352">
        <w:trPr>
          <w:trHeight w:val="190"/>
          <w:jc w:val="center"/>
        </w:trPr>
        <w:tc>
          <w:tcPr>
            <w:tcW w:w="4957" w:type="pct"/>
            <w:gridSpan w:val="3"/>
            <w:shd w:val="clear" w:color="auto" w:fill="DBE5F1" w:themeFill="accent1" w:themeFillTint="33"/>
            <w:vAlign w:val="center"/>
            <w:hideMark/>
          </w:tcPr>
          <w:p w:rsidR="004715BE" w:rsidRPr="00AB7E7A" w:rsidRDefault="004715BE" w:rsidP="00AB7E7A">
            <w:pPr>
              <w:spacing w:before="0" w:after="0"/>
              <w:ind w:left="0"/>
              <w:contextualSpacing/>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Children’s Mental Health</w:t>
            </w:r>
          </w:p>
        </w:tc>
      </w:tr>
      <w:tr w:rsidR="00AB7E7A" w:rsidRPr="00AB7E7A" w:rsidTr="00AB7E7A">
        <w:trPr>
          <w:trHeight w:val="312"/>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MH012</w:t>
            </w:r>
          </w:p>
        </w:tc>
        <w:tc>
          <w:tcPr>
            <w:tcW w:w="3947" w:type="pct"/>
            <w:vAlign w:val="center"/>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 xml:space="preserve">Percent of school days seriously emotionally disturbed (SED) children attended </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86%</w:t>
            </w:r>
          </w:p>
        </w:tc>
      </w:tr>
      <w:tr w:rsidR="00AB7E7A" w:rsidRPr="00AB7E7A" w:rsidTr="00AB7E7A">
        <w:trPr>
          <w:trHeight w:val="278"/>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MH377</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Percent of children with emotional disturbances (ED) who improve their level of functioning</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64%</w:t>
            </w:r>
          </w:p>
        </w:tc>
      </w:tr>
      <w:tr w:rsidR="00AB7E7A" w:rsidRPr="00AB7E7A" w:rsidTr="00AB7E7A">
        <w:trPr>
          <w:trHeight w:val="350"/>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MH378</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Percent of children with serious emotional disturbances (SED) who improve their level of functioning</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65%</w:t>
            </w:r>
          </w:p>
        </w:tc>
      </w:tr>
      <w:tr w:rsidR="00AB7E7A" w:rsidRPr="00AB7E7A" w:rsidTr="00AB7E7A">
        <w:trPr>
          <w:trHeight w:val="260"/>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MH778</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Percent of children with emotional disturbance (ED) who live in a stable housing environment</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95%</w:t>
            </w:r>
          </w:p>
        </w:tc>
      </w:tr>
      <w:tr w:rsidR="00AB7E7A" w:rsidRPr="00AB7E7A" w:rsidTr="00AB7E7A">
        <w:trPr>
          <w:trHeight w:val="251"/>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MH779</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Percent of children with serious emotional disturbance (SED) who live in a stable housing environment</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93%</w:t>
            </w:r>
          </w:p>
        </w:tc>
      </w:tr>
      <w:tr w:rsidR="00AB7E7A" w:rsidRPr="00AB7E7A" w:rsidTr="00AB7E7A">
        <w:trPr>
          <w:trHeight w:val="251"/>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MH780</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Percent of children at risk of emotional disturbance (ED) who live in a stable housing environment</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96%</w:t>
            </w:r>
          </w:p>
        </w:tc>
      </w:tr>
      <w:tr w:rsidR="00AB7E7A" w:rsidRPr="00AB7E7A" w:rsidTr="00CE7352">
        <w:trPr>
          <w:trHeight w:val="244"/>
          <w:jc w:val="center"/>
        </w:trPr>
        <w:tc>
          <w:tcPr>
            <w:tcW w:w="4957" w:type="pct"/>
            <w:gridSpan w:val="3"/>
            <w:shd w:val="clear" w:color="auto" w:fill="DBE5F1" w:themeFill="accent1" w:themeFillTint="33"/>
            <w:vAlign w:val="center"/>
            <w:hideMark/>
          </w:tcPr>
          <w:p w:rsidR="004715BE" w:rsidRPr="00AB7E7A" w:rsidRDefault="004715BE" w:rsidP="00AB7E7A">
            <w:pPr>
              <w:spacing w:before="0" w:after="0"/>
              <w:ind w:left="0"/>
              <w:contextualSpacing/>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Children’s Substance Abuse</w:t>
            </w:r>
          </w:p>
        </w:tc>
      </w:tr>
      <w:tr w:rsidR="00AB7E7A" w:rsidRPr="00AB7E7A" w:rsidTr="00AB7E7A">
        <w:trPr>
          <w:trHeight w:val="233"/>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SA725</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Percent of children who successfully complete substance abuse treatment services</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48%</w:t>
            </w:r>
          </w:p>
        </w:tc>
      </w:tr>
      <w:tr w:rsidR="00AB7E7A" w:rsidRPr="00AB7E7A" w:rsidTr="00AB7E7A">
        <w:trPr>
          <w:trHeight w:val="316"/>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SA751</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20%</w:t>
            </w:r>
          </w:p>
        </w:tc>
      </w:tr>
      <w:tr w:rsidR="00AB7E7A" w:rsidRPr="00AB7E7A" w:rsidTr="00AB7E7A">
        <w:trPr>
          <w:trHeight w:val="260"/>
          <w:jc w:val="center"/>
        </w:trPr>
        <w:tc>
          <w:tcPr>
            <w:tcW w:w="423" w:type="pct"/>
            <w:vAlign w:val="center"/>
            <w:hideMark/>
          </w:tcPr>
          <w:p w:rsidR="004715BE" w:rsidRPr="00AB7E7A" w:rsidRDefault="004715BE" w:rsidP="00AB7E7A">
            <w:pPr>
              <w:spacing w:before="0" w:after="0"/>
              <w:ind w:left="17"/>
              <w:contextualSpacing/>
              <w:jc w:val="center"/>
              <w:rPr>
                <w:rFonts w:ascii="Arial Narrow" w:eastAsia="Times New Roman" w:hAnsi="Arial Narrow" w:cs="Times New Roman"/>
                <w:b/>
                <w:bCs/>
                <w:sz w:val="20"/>
                <w:szCs w:val="20"/>
              </w:rPr>
            </w:pPr>
            <w:r w:rsidRPr="00AB7E7A">
              <w:rPr>
                <w:rFonts w:ascii="Arial Narrow" w:eastAsia="Times New Roman" w:hAnsi="Arial Narrow" w:cs="Times New Roman"/>
                <w:b/>
                <w:bCs/>
                <w:sz w:val="20"/>
                <w:szCs w:val="20"/>
              </w:rPr>
              <w:t>SA752</w:t>
            </w:r>
          </w:p>
        </w:tc>
        <w:tc>
          <w:tcPr>
            <w:tcW w:w="3947" w:type="pct"/>
            <w:vAlign w:val="center"/>
            <w:hideMark/>
          </w:tcPr>
          <w:p w:rsidR="004715BE" w:rsidRPr="00AB7E7A" w:rsidRDefault="004715BE" w:rsidP="00AB7E7A">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Percent of children with substance abuse who live in a stable housing environment at the time of discharge</w:t>
            </w:r>
          </w:p>
        </w:tc>
        <w:tc>
          <w:tcPr>
            <w:tcW w:w="545" w:type="pct"/>
            <w:vAlign w:val="center"/>
          </w:tcPr>
          <w:p w:rsidR="004715BE" w:rsidRPr="00AB7E7A" w:rsidRDefault="004715BE" w:rsidP="001E67F8">
            <w:pPr>
              <w:spacing w:before="0" w:after="0"/>
              <w:ind w:left="0"/>
              <w:contextualSpacing/>
              <w:jc w:val="center"/>
              <w:rPr>
                <w:rFonts w:ascii="Arial Narrow" w:eastAsia="Times New Roman" w:hAnsi="Arial Narrow" w:cs="Times New Roman"/>
                <w:sz w:val="20"/>
                <w:szCs w:val="20"/>
              </w:rPr>
            </w:pPr>
            <w:r w:rsidRPr="00AB7E7A">
              <w:rPr>
                <w:rFonts w:ascii="Arial Narrow" w:eastAsia="Times New Roman" w:hAnsi="Arial Narrow" w:cs="Times New Roman"/>
                <w:sz w:val="20"/>
                <w:szCs w:val="20"/>
              </w:rPr>
              <w:t>93%</w:t>
            </w:r>
          </w:p>
        </w:tc>
      </w:tr>
    </w:tbl>
    <w:p w:rsidR="004715BE" w:rsidRPr="00AB7E7A" w:rsidRDefault="004715BE" w:rsidP="004715BE">
      <w:pPr>
        <w:pStyle w:val="ListParagraph"/>
        <w:keepNext/>
        <w:ind w:left="0"/>
        <w:contextualSpacing w:val="0"/>
        <w:rPr>
          <w:rFonts w:ascii="Arial Narrow" w:hAnsi="Arial Narrow"/>
          <w:b/>
        </w:rPr>
      </w:pPr>
    </w:p>
    <w:p w:rsidR="004715BE" w:rsidRPr="00AB7E7A" w:rsidRDefault="004715BE" w:rsidP="004715BE">
      <w:pPr>
        <w:rPr>
          <w:rFonts w:ascii="Arial Narrow" w:hAnsi="Arial Narrow"/>
          <w:b/>
        </w:rPr>
      </w:pPr>
      <w:r w:rsidRPr="00AB7E7A">
        <w:rPr>
          <w:rFonts w:ascii="Arial Narrow" w:hAnsi="Arial Narrow"/>
          <w:b/>
        </w:rPr>
        <w:br w:type="page"/>
      </w:r>
    </w:p>
    <w:p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9A751F" w:rsidRPr="00750CE2">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rsidTr="00CE7352">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Table </w:t>
            </w:r>
            <w:r w:rsidR="009A751F">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rsidTr="00EF59CE">
        <w:trPr>
          <w:trHeight w:val="370"/>
          <w:jc w:val="center"/>
        </w:trPr>
        <w:tc>
          <w:tcPr>
            <w:tcW w:w="2562" w:type="dxa"/>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rsidTr="00CE7352">
        <w:trPr>
          <w:trHeight w:hRule="exact" w:val="380"/>
          <w:jc w:val="center"/>
        </w:trPr>
        <w:tc>
          <w:tcPr>
            <w:tcW w:w="2562" w:type="dxa"/>
            <w:vMerge w:val="restart"/>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val="restart"/>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shd w:val="clear" w:color="auto" w:fill="DBE5F1" w:themeFill="accent1" w:themeFillTint="33"/>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rsidTr="00314575">
        <w:trPr>
          <w:trHeight w:val="334"/>
          <w:jc w:val="center"/>
        </w:trPr>
        <w:tc>
          <w:tcPr>
            <w:tcW w:w="0" w:type="dxa"/>
            <w:vMerge/>
            <w:shd w:val="clear" w:color="auto" w:fill="DBE5F1" w:themeFill="accent1" w:themeFillTint="33"/>
            <w:vAlign w:val="center"/>
            <w:hideMark/>
          </w:tcPr>
          <w:p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rsidTr="00CE7352">
        <w:trPr>
          <w:trHeight w:hRule="exact" w:val="443"/>
          <w:jc w:val="center"/>
        </w:trPr>
        <w:tc>
          <w:tcPr>
            <w:tcW w:w="2562" w:type="dxa"/>
            <w:vMerge w:val="restart"/>
            <w:shd w:val="clear" w:color="auto" w:fill="DBE5F1" w:themeFill="accent1" w:themeFillTint="33"/>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rsidTr="00CE7352">
        <w:trPr>
          <w:trHeight w:hRule="exact" w:val="360"/>
          <w:jc w:val="center"/>
        </w:trPr>
        <w:tc>
          <w:tcPr>
            <w:tcW w:w="2562" w:type="dxa"/>
            <w:vMerge/>
            <w:shd w:val="clear" w:color="auto" w:fill="DBE5F1" w:themeFill="accent1" w:themeFillTint="33"/>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rsidTr="00CE7352">
        <w:trPr>
          <w:trHeight w:hRule="exact" w:val="360"/>
          <w:jc w:val="center"/>
        </w:trPr>
        <w:tc>
          <w:tcPr>
            <w:tcW w:w="2562" w:type="dxa"/>
            <w:vMerge/>
            <w:shd w:val="clear" w:color="auto" w:fill="DBE5F1" w:themeFill="accent1" w:themeFillTint="33"/>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rsidTr="00CE7352">
        <w:trPr>
          <w:trHeight w:hRule="exact" w:val="360"/>
          <w:jc w:val="center"/>
        </w:trPr>
        <w:tc>
          <w:tcPr>
            <w:tcW w:w="2562" w:type="dxa"/>
            <w:vMerge/>
            <w:shd w:val="clear" w:color="auto" w:fill="DBE5F1" w:themeFill="accent1" w:themeFillTint="33"/>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rsidTr="00CE7352">
        <w:trPr>
          <w:trHeight w:hRule="exact" w:val="360"/>
          <w:jc w:val="center"/>
        </w:trPr>
        <w:tc>
          <w:tcPr>
            <w:tcW w:w="2562" w:type="dxa"/>
            <w:vMerge/>
            <w:shd w:val="clear" w:color="auto" w:fill="DBE5F1" w:themeFill="accent1" w:themeFillTint="33"/>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rsidTr="00CE7352">
        <w:trPr>
          <w:trHeight w:hRule="exact" w:val="360"/>
          <w:jc w:val="center"/>
        </w:trPr>
        <w:tc>
          <w:tcPr>
            <w:tcW w:w="2562" w:type="dxa"/>
            <w:vMerge/>
            <w:shd w:val="clear" w:color="auto" w:fill="DBE5F1" w:themeFill="accent1" w:themeFillTint="33"/>
            <w:vAlign w:val="center"/>
          </w:tcPr>
          <w:p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val="restart"/>
            <w:shd w:val="clear" w:color="auto" w:fill="DBE5F1" w:themeFill="accent1" w:themeFillTint="33"/>
            <w:vAlign w:val="center"/>
          </w:tcPr>
          <w:p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shd w:val="clear" w:color="auto" w:fill="DBE5F1" w:themeFill="accent1" w:themeFillTint="33"/>
            <w:textDirection w:val="btLr"/>
            <w:vAlign w:val="center"/>
          </w:tcPr>
          <w:p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shd w:val="clear" w:color="auto" w:fill="DBE5F1" w:themeFill="accent1" w:themeFillTint="33"/>
            <w:textDirection w:val="btLr"/>
            <w:vAlign w:val="center"/>
          </w:tcPr>
          <w:p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rsidTr="00CE7352">
        <w:trPr>
          <w:trHeight w:hRule="exact" w:val="360"/>
          <w:jc w:val="center"/>
        </w:trPr>
        <w:tc>
          <w:tcPr>
            <w:tcW w:w="2562" w:type="dxa"/>
            <w:vMerge/>
            <w:shd w:val="clear" w:color="auto" w:fill="DBE5F1" w:themeFill="accent1" w:themeFillTint="33"/>
            <w:textDirection w:val="btLr"/>
            <w:vAlign w:val="center"/>
          </w:tcPr>
          <w:p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tc>
        <w:tc>
          <w:tcPr>
            <w:tcW w:w="2111" w:type="dxa"/>
            <w:noWrap/>
            <w:vAlign w:val="center"/>
          </w:tcPr>
          <w:p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Contract, or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w:t>
      </w:r>
      <w:r w:rsidRPr="00AB7E7A">
        <w:rPr>
          <w:rFonts w:ascii="Arial Narrow" w:hAnsi="Arial Narrow"/>
        </w:rPr>
        <w:lastRenderedPageBreak/>
        <w:t>set forth in this Contract. If performance deficiencies are not resolved to the satisfaction of the Department within the prescribed time, and if no extenuating circumstances can be documented by the Managing Entity to the Department’s satisfaction, the Department may terminate the contract. The Department has the exclusive authority to determine whether there are extenuating or mitigating circumstances.</w:t>
      </w:r>
    </w:p>
    <w:p w:rsidR="006C05AC" w:rsidRPr="00AB7E7A" w:rsidRDefault="004715BE" w:rsidP="009A751F">
      <w:pPr>
        <w:pStyle w:val="ListParagraph"/>
        <w:keepNext/>
        <w:numPr>
          <w:ilvl w:val="1"/>
          <w:numId w:val="5"/>
        </w:numPr>
        <w:tabs>
          <w:tab w:val="num" w:pos="1260"/>
        </w:tabs>
        <w:ind w:left="540"/>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rsidR="00BF2307" w:rsidRPr="00AB7E7A" w:rsidRDefault="00BF2307" w:rsidP="00BF2307">
      <w:pPr>
        <w:tabs>
          <w:tab w:val="left" w:pos="2160"/>
        </w:tabs>
        <w:rPr>
          <w:rFonts w:ascii="Arial Narrow" w:hAnsi="Arial Narrow"/>
        </w:rPr>
      </w:pPr>
    </w:p>
    <w:p w:rsidR="00BF2307" w:rsidRPr="00AB7E7A" w:rsidRDefault="00BF2307" w:rsidP="00BF2307">
      <w:pPr>
        <w:tabs>
          <w:tab w:val="left" w:pos="2160"/>
        </w:tabs>
        <w:rPr>
          <w:rFonts w:ascii="Arial Narrow" w:hAnsi="Arial Narrow"/>
        </w:rPr>
      </w:pPr>
    </w:p>
    <w:p w:rsidR="00BF2307" w:rsidRPr="00AB7E7A" w:rsidRDefault="00BF2307" w:rsidP="00BF2307">
      <w:pPr>
        <w:tabs>
          <w:tab w:val="left" w:pos="2160"/>
        </w:tabs>
        <w:rPr>
          <w:rFonts w:ascii="Arial Narrow" w:hAnsi="Arial Narrow"/>
        </w:rPr>
      </w:pPr>
    </w:p>
    <w:p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rsidR="00BF2307" w:rsidRPr="00AB7E7A" w:rsidRDefault="00BF2307" w:rsidP="00BF2307">
      <w:pPr>
        <w:tabs>
          <w:tab w:val="left" w:pos="2160"/>
        </w:tabs>
        <w:rPr>
          <w:rFonts w:ascii="Arial Narrow" w:hAnsi="Arial Narrow"/>
        </w:rPr>
      </w:pPr>
    </w:p>
    <w:sectPr w:rsidR="00BF2307" w:rsidRPr="00AB7E7A" w:rsidSect="007A546C">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93" w:rsidRDefault="00DC7393" w:rsidP="00DC7393">
      <w:pPr>
        <w:spacing w:before="0" w:after="0"/>
      </w:pPr>
      <w:r>
        <w:separator/>
      </w:r>
    </w:p>
  </w:endnote>
  <w:endnote w:type="continuationSeparator" w:id="0">
    <w:p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93" w:rsidRPr="000529C7" w:rsidRDefault="000529C7"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sidR="00314575">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sidR="00BC7483">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23" w:rsidRPr="007A546C" w:rsidRDefault="007A546C"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w:t>
    </w:r>
    <w:r w:rsidR="00314575" w:rsidRPr="000529C7">
      <w:rPr>
        <w:rFonts w:ascii="Arial Narrow" w:eastAsia="Times New Roman" w:hAnsi="Arial Narrow" w:cs="Times New Roman"/>
        <w:b/>
        <w:lang w:val="x-none"/>
      </w:rPr>
      <w:t>201</w:t>
    </w:r>
    <w:r w:rsidR="00314575">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sidR="00BC7483">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93" w:rsidRDefault="00DC7393" w:rsidP="00DC7393">
      <w:pPr>
        <w:spacing w:before="0" w:after="0"/>
      </w:pPr>
      <w:r>
        <w:separator/>
      </w:r>
    </w:p>
  </w:footnote>
  <w:footnote w:type="continuationSeparator" w:id="0">
    <w:p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75" w:rsidRDefault="00314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93" w:rsidRPr="00AB7E7A" w:rsidRDefault="00AB7E7A" w:rsidP="00AB7E7A">
    <w:pPr>
      <w:tabs>
        <w:tab w:val="center" w:pos="4680"/>
        <w:tab w:val="right" w:pos="9360"/>
      </w:tabs>
      <w:ind w:left="0"/>
      <w:contextualSpacing/>
      <w:rPr>
        <w:rFonts w:ascii="Arial Narrow" w:hAnsi="Arial Narrow"/>
        <w:b/>
      </w:rPr>
    </w:pPr>
    <w:r w:rsidRPr="00955D83">
      <w:rPr>
        <w:rFonts w:ascii="Arial Narrow" w:hAnsi="Arial Narrow"/>
        <w:b/>
      </w:rPr>
      <w:t>Insert Date</w:t>
    </w: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23" w:rsidRPr="007A546C" w:rsidRDefault="00327C48" w:rsidP="007A546C">
    <w:pPr>
      <w:pStyle w:val="Header"/>
      <w:ind w:left="0"/>
      <w:rPr>
        <w:rFonts w:ascii="Arial Narrow" w:hAnsi="Arial Narrow"/>
        <w:b/>
      </w:rPr>
    </w:pPr>
    <w:r>
      <w:rPr>
        <w:rFonts w:ascii="Arial Narrow" w:hAnsi="Arial Narrow"/>
        <w:b/>
      </w:rPr>
      <w:t xml:space="preserve">July 1, </w:t>
    </w:r>
    <w:r w:rsidR="004F520A">
      <w:rPr>
        <w:rFonts w:ascii="Arial Narrow" w:hAnsi="Arial Narrow"/>
        <w: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8"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7"/>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8"/>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3"/>
    <w:rsid w:val="00041077"/>
    <w:rsid w:val="000529C7"/>
    <w:rsid w:val="000E2708"/>
    <w:rsid w:val="001525DD"/>
    <w:rsid w:val="00181C8E"/>
    <w:rsid w:val="00195E64"/>
    <w:rsid w:val="001C3831"/>
    <w:rsid w:val="001C6A43"/>
    <w:rsid w:val="001D4AC0"/>
    <w:rsid w:val="001E67F8"/>
    <w:rsid w:val="00314575"/>
    <w:rsid w:val="00323B0C"/>
    <w:rsid w:val="00327C48"/>
    <w:rsid w:val="004715BE"/>
    <w:rsid w:val="004F520A"/>
    <w:rsid w:val="00510136"/>
    <w:rsid w:val="005F4CC0"/>
    <w:rsid w:val="00654A86"/>
    <w:rsid w:val="006A27FD"/>
    <w:rsid w:val="006C05AC"/>
    <w:rsid w:val="006C4A98"/>
    <w:rsid w:val="006C6AFB"/>
    <w:rsid w:val="006D07AB"/>
    <w:rsid w:val="00706ED1"/>
    <w:rsid w:val="00750CE2"/>
    <w:rsid w:val="007A546C"/>
    <w:rsid w:val="007F3B57"/>
    <w:rsid w:val="00894398"/>
    <w:rsid w:val="0099663F"/>
    <w:rsid w:val="009A751F"/>
    <w:rsid w:val="00AB63FD"/>
    <w:rsid w:val="00AB7E7A"/>
    <w:rsid w:val="00B03943"/>
    <w:rsid w:val="00B12D82"/>
    <w:rsid w:val="00B6438F"/>
    <w:rsid w:val="00B80B2A"/>
    <w:rsid w:val="00BC7483"/>
    <w:rsid w:val="00BF2307"/>
    <w:rsid w:val="00CB5B1D"/>
    <w:rsid w:val="00D62923"/>
    <w:rsid w:val="00D84BD5"/>
    <w:rsid w:val="00DB6E2F"/>
    <w:rsid w:val="00DC7393"/>
    <w:rsid w:val="00E209A2"/>
    <w:rsid w:val="00EF59CE"/>
    <w:rsid w:val="00F3790E"/>
    <w:rsid w:val="00F7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EA1D6-4EFE-43AB-8FE2-3C8306D1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4</cp:revision>
  <cp:lastPrinted>2016-03-07T18:51:00Z</cp:lastPrinted>
  <dcterms:created xsi:type="dcterms:W3CDTF">2018-06-01T20:52:00Z</dcterms:created>
  <dcterms:modified xsi:type="dcterms:W3CDTF">2018-06-01T21:33:00Z</dcterms:modified>
</cp:coreProperties>
</file>