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8E" w:rsidRPr="003A2A2B" w:rsidRDefault="0064018E" w:rsidP="00E65293">
      <w:pPr>
        <w:spacing w:before="120" w:after="120" w:line="240" w:lineRule="auto"/>
        <w:contextualSpacing/>
        <w:jc w:val="center"/>
        <w:rPr>
          <w:rFonts w:ascii="Arial Narrow" w:eastAsia="Calibri" w:hAnsi="Arial Narrow" w:cs="Arial"/>
          <w:b/>
        </w:rPr>
      </w:pPr>
      <w:r w:rsidRPr="003A2A2B">
        <w:rPr>
          <w:rFonts w:ascii="Arial Narrow" w:eastAsia="Calibri" w:hAnsi="Arial Narrow" w:cs="Arial"/>
          <w:b/>
        </w:rPr>
        <w:t xml:space="preserve">Guidance </w:t>
      </w:r>
      <w:r w:rsidR="0078009E" w:rsidRPr="003A2A2B">
        <w:rPr>
          <w:rFonts w:ascii="Arial Narrow" w:eastAsia="Calibri" w:hAnsi="Arial Narrow" w:cs="Arial"/>
          <w:b/>
        </w:rPr>
        <w:t>31</w:t>
      </w:r>
    </w:p>
    <w:p w:rsidR="0064018E" w:rsidRPr="003A2A2B" w:rsidRDefault="0064018E" w:rsidP="00E65293">
      <w:pPr>
        <w:spacing w:before="120" w:after="120" w:line="240" w:lineRule="auto"/>
        <w:contextualSpacing/>
        <w:jc w:val="center"/>
        <w:rPr>
          <w:rFonts w:ascii="Arial Narrow" w:eastAsia="Calibri" w:hAnsi="Arial Narrow" w:cs="Arial"/>
          <w:b/>
        </w:rPr>
      </w:pPr>
      <w:r w:rsidRPr="003A2A2B">
        <w:rPr>
          <w:rFonts w:ascii="Arial Narrow" w:eastAsia="Calibri" w:hAnsi="Arial Narrow" w:cs="Arial"/>
          <w:b/>
        </w:rPr>
        <w:t xml:space="preserve">Children’s Mental Health System of Care (CMHSOC) </w:t>
      </w:r>
    </w:p>
    <w:p w:rsidR="0064018E" w:rsidRPr="003A2A2B" w:rsidRDefault="0064018E" w:rsidP="00E65293">
      <w:pPr>
        <w:spacing w:before="120" w:after="120" w:line="240" w:lineRule="auto"/>
        <w:contextualSpacing/>
        <w:jc w:val="center"/>
        <w:rPr>
          <w:rFonts w:ascii="Arial Narrow" w:eastAsia="Calibri" w:hAnsi="Arial Narrow" w:cs="Arial"/>
          <w:b/>
        </w:rPr>
      </w:pPr>
      <w:r w:rsidRPr="003A2A2B">
        <w:rPr>
          <w:rFonts w:ascii="Arial Narrow" w:eastAsia="Times New Roman" w:hAnsi="Arial Narrow" w:cs="Arial"/>
          <w:b/>
        </w:rPr>
        <w:t>Expansion and Sustainability Project</w:t>
      </w:r>
    </w:p>
    <w:p w:rsidR="0064018E" w:rsidRPr="003A2A2B" w:rsidRDefault="0064018E" w:rsidP="00E65293">
      <w:pPr>
        <w:spacing w:before="120" w:after="120" w:line="240" w:lineRule="auto"/>
        <w:jc w:val="center"/>
        <w:rPr>
          <w:rFonts w:ascii="Arial Narrow" w:eastAsia="Times New Roman" w:hAnsi="Arial Narrow" w:cs="Arial"/>
          <w:b/>
        </w:rPr>
      </w:pPr>
    </w:p>
    <w:p w:rsidR="0064018E" w:rsidRPr="003A2A2B" w:rsidRDefault="0064018E" w:rsidP="00E65293">
      <w:pPr>
        <w:spacing w:before="120" w:after="120" w:line="240" w:lineRule="auto"/>
        <w:ind w:left="2160" w:hanging="2160"/>
        <w:rPr>
          <w:rFonts w:ascii="Arial Narrow" w:eastAsia="Times New Roman" w:hAnsi="Arial Narrow" w:cs="Arial"/>
        </w:rPr>
      </w:pPr>
      <w:r w:rsidRPr="003A2A2B">
        <w:rPr>
          <w:rFonts w:ascii="Arial Narrow" w:eastAsia="Times New Roman" w:hAnsi="Arial Narrow" w:cs="Arial"/>
          <w:b/>
        </w:rPr>
        <w:t>Contract Reference:</w:t>
      </w:r>
      <w:r w:rsidR="003714D1" w:rsidRPr="003A2A2B">
        <w:rPr>
          <w:rFonts w:ascii="Arial Narrow" w:eastAsia="Times New Roman" w:hAnsi="Arial Narrow" w:cs="Arial"/>
          <w:b/>
        </w:rPr>
        <w:tab/>
      </w:r>
      <w:r w:rsidR="003714D1" w:rsidRPr="003A2A2B">
        <w:rPr>
          <w:rFonts w:ascii="Arial Narrow" w:eastAsia="Times New Roman" w:hAnsi="Arial Narrow" w:cs="Arial"/>
          <w:i/>
        </w:rPr>
        <w:t>Section A-1.1.2 and Exhibit C1</w:t>
      </w:r>
    </w:p>
    <w:p w:rsidR="0064018E" w:rsidRPr="003A2A2B" w:rsidRDefault="0064018E" w:rsidP="00E65293">
      <w:pPr>
        <w:spacing w:before="120" w:after="120" w:line="240" w:lineRule="auto"/>
        <w:ind w:left="2160" w:hanging="2160"/>
        <w:rPr>
          <w:rFonts w:ascii="Arial Narrow" w:eastAsia="Times New Roman" w:hAnsi="Arial Narrow" w:cs="Arial"/>
          <w:u w:val="single"/>
        </w:rPr>
      </w:pPr>
      <w:r w:rsidRPr="003A2A2B">
        <w:rPr>
          <w:rFonts w:ascii="Arial Narrow" w:eastAsia="Times New Roman" w:hAnsi="Arial Narrow" w:cs="Arial"/>
          <w:b/>
        </w:rPr>
        <w:t>Authorities:</w:t>
      </w:r>
      <w:r w:rsidRPr="003A2A2B">
        <w:rPr>
          <w:rFonts w:ascii="Arial Narrow" w:eastAsia="Times New Roman" w:hAnsi="Arial Narrow" w:cs="Arial"/>
        </w:rPr>
        <w:tab/>
      </w:r>
      <w:r w:rsidRPr="003A2A2B">
        <w:rPr>
          <w:rFonts w:ascii="Arial Narrow" w:eastAsia="Times New Roman" w:hAnsi="Arial Narrow" w:cs="Arial"/>
          <w:i/>
        </w:rPr>
        <w:t>Section 394.491, F.S.</w:t>
      </w:r>
      <w:r w:rsidRPr="003A2A2B">
        <w:rPr>
          <w:rFonts w:ascii="Arial Narrow" w:eastAsia="Times New Roman" w:hAnsi="Arial Narrow" w:cs="Arial"/>
        </w:rPr>
        <w:t xml:space="preserve"> </w:t>
      </w:r>
    </w:p>
    <w:p w:rsidR="0064018E" w:rsidRPr="003A2A2B" w:rsidRDefault="0064018E" w:rsidP="00E65293">
      <w:pPr>
        <w:spacing w:before="120" w:after="120" w:line="240" w:lineRule="auto"/>
        <w:rPr>
          <w:rFonts w:ascii="Arial Narrow" w:eastAsia="Times New Roman" w:hAnsi="Arial Narrow" w:cs="Arial"/>
        </w:rPr>
      </w:pPr>
      <w:r w:rsidRPr="003A2A2B">
        <w:rPr>
          <w:rFonts w:ascii="Arial Narrow" w:eastAsia="Times New Roman" w:hAnsi="Arial Narrow" w:cs="Arial"/>
          <w:b/>
        </w:rPr>
        <w:t>Frequency:</w:t>
      </w:r>
      <w:r w:rsidRPr="003A2A2B">
        <w:rPr>
          <w:rFonts w:ascii="Arial Narrow" w:eastAsia="Times New Roman" w:hAnsi="Arial Narrow" w:cs="Arial"/>
        </w:rPr>
        <w:tab/>
      </w:r>
      <w:r w:rsidRPr="003A2A2B">
        <w:rPr>
          <w:rFonts w:ascii="Arial Narrow" w:eastAsia="Times New Roman" w:hAnsi="Arial Narrow" w:cs="Arial"/>
        </w:rPr>
        <w:tab/>
      </w:r>
      <w:r w:rsidRPr="003A2A2B">
        <w:rPr>
          <w:rFonts w:ascii="Arial Narrow" w:eastAsia="Times New Roman" w:hAnsi="Arial Narrow" w:cs="Arial"/>
          <w:i/>
        </w:rPr>
        <w:t>Ongoing</w:t>
      </w:r>
    </w:p>
    <w:p w:rsidR="0064018E" w:rsidRPr="003A2A2B" w:rsidRDefault="0064018E" w:rsidP="00E65293">
      <w:pPr>
        <w:spacing w:before="120" w:after="120" w:line="240" w:lineRule="auto"/>
        <w:ind w:left="2160" w:hanging="2160"/>
        <w:rPr>
          <w:rFonts w:ascii="Arial Narrow" w:eastAsia="Times New Roman" w:hAnsi="Arial Narrow" w:cs="Arial"/>
        </w:rPr>
      </w:pPr>
      <w:r w:rsidRPr="003A2A2B">
        <w:rPr>
          <w:rFonts w:ascii="Arial Narrow" w:eastAsia="Times New Roman" w:hAnsi="Arial Narrow" w:cs="Arial"/>
          <w:b/>
        </w:rPr>
        <w:t>Due Date:</w:t>
      </w:r>
      <w:r w:rsidRPr="003A2A2B">
        <w:rPr>
          <w:rFonts w:ascii="Arial Narrow" w:eastAsia="Times New Roman" w:hAnsi="Arial Narrow" w:cs="Arial"/>
        </w:rPr>
        <w:tab/>
      </w:r>
      <w:r w:rsidRPr="003A2A2B">
        <w:rPr>
          <w:rFonts w:ascii="Arial Narrow" w:eastAsia="Times New Roman" w:hAnsi="Arial Narrow" w:cs="Arial"/>
          <w:i/>
        </w:rPr>
        <w:t>Not Applicable</w:t>
      </w:r>
    </w:p>
    <w:p w:rsidR="0078009E" w:rsidRPr="003A2A2B" w:rsidRDefault="0078009E" w:rsidP="00E65293">
      <w:pPr>
        <w:spacing w:before="120" w:after="120" w:line="240" w:lineRule="auto"/>
        <w:ind w:left="2160" w:hanging="2160"/>
        <w:rPr>
          <w:rFonts w:ascii="Arial Narrow" w:eastAsia="Times New Roman" w:hAnsi="Arial Narrow" w:cs="Arial"/>
        </w:rPr>
      </w:pPr>
    </w:p>
    <w:p w:rsidR="0064018E" w:rsidRPr="003A2A2B" w:rsidRDefault="0064018E" w:rsidP="001D65F3">
      <w:pPr>
        <w:pStyle w:val="Heading1"/>
        <w:keepNext w:val="0"/>
        <w:tabs>
          <w:tab w:val="left" w:pos="360"/>
        </w:tabs>
      </w:pPr>
      <w:r w:rsidRPr="003A2A2B">
        <w:t>Purpose</w:t>
      </w:r>
    </w:p>
    <w:p w:rsidR="00CC0ABB" w:rsidRPr="003A2A2B" w:rsidRDefault="0064018E" w:rsidP="00CC0ABB">
      <w:pPr>
        <w:spacing w:before="120" w:after="120" w:line="240" w:lineRule="auto"/>
        <w:jc w:val="both"/>
        <w:rPr>
          <w:rFonts w:ascii="Arial Narrow" w:hAnsi="Arial Narrow"/>
        </w:rPr>
      </w:pPr>
      <w:r w:rsidRPr="003A2A2B">
        <w:rPr>
          <w:rFonts w:ascii="Arial Narrow" w:eastAsia="Times New Roman" w:hAnsi="Arial Narrow" w:cs="Arial"/>
        </w:rPr>
        <w:t xml:space="preserve">This document provides guidance on </w:t>
      </w:r>
      <w:r w:rsidR="0078009E" w:rsidRPr="003A2A2B">
        <w:rPr>
          <w:rFonts w:ascii="Arial Narrow" w:eastAsia="Times New Roman" w:hAnsi="Arial Narrow" w:cs="Arial"/>
        </w:rPr>
        <w:t xml:space="preserve">Managing Entity implementation of the </w:t>
      </w:r>
      <w:r w:rsidRPr="003A2A2B">
        <w:rPr>
          <w:rFonts w:ascii="Arial Narrow" w:eastAsia="Calibri" w:hAnsi="Arial Narrow" w:cs="Arial"/>
        </w:rPr>
        <w:t>Children’s Mental Health System of Care</w:t>
      </w:r>
      <w:r w:rsidRPr="003A2A2B">
        <w:rPr>
          <w:rFonts w:ascii="Arial Narrow" w:eastAsia="Times New Roman" w:hAnsi="Arial Narrow" w:cs="Arial"/>
        </w:rPr>
        <w:t xml:space="preserve"> (CMHSOC)</w:t>
      </w:r>
      <w:r w:rsidRPr="003A2A2B">
        <w:rPr>
          <w:rFonts w:ascii="Arial Narrow" w:eastAsia="Times New Roman" w:hAnsi="Arial Narrow" w:cs="Arial"/>
          <w:b/>
        </w:rPr>
        <w:t xml:space="preserve"> </w:t>
      </w:r>
      <w:r w:rsidRPr="003A2A2B">
        <w:rPr>
          <w:rFonts w:ascii="Arial Narrow" w:eastAsia="Times New Roman" w:hAnsi="Arial Narrow" w:cs="Arial"/>
        </w:rPr>
        <w:t xml:space="preserve">Expansion and Sustainability Project </w:t>
      </w:r>
      <w:r w:rsidR="0078009E" w:rsidRPr="003A2A2B">
        <w:rPr>
          <w:rFonts w:ascii="Arial Narrow" w:eastAsia="Times New Roman" w:hAnsi="Arial Narrow" w:cs="Arial"/>
        </w:rPr>
        <w:t xml:space="preserve">pursuant to </w:t>
      </w:r>
      <w:r w:rsidRPr="003A2A2B">
        <w:rPr>
          <w:rFonts w:ascii="Arial Narrow" w:eastAsia="Times New Roman" w:hAnsi="Arial Narrow" w:cs="Arial"/>
          <w:bCs/>
        </w:rPr>
        <w:t>SAMHSA</w:t>
      </w:r>
      <w:r w:rsidR="0078009E" w:rsidRPr="003A2A2B">
        <w:rPr>
          <w:rFonts w:ascii="Arial Narrow" w:eastAsia="Times New Roman" w:hAnsi="Arial Narrow" w:cs="Arial"/>
          <w:bCs/>
        </w:rPr>
        <w:t xml:space="preserve"> </w:t>
      </w:r>
      <w:r w:rsidRPr="003A2A2B">
        <w:rPr>
          <w:rFonts w:ascii="Arial Narrow" w:eastAsia="Times New Roman" w:hAnsi="Arial Narrow" w:cs="Arial"/>
          <w:bCs/>
        </w:rPr>
        <w:t>Grant Number</w:t>
      </w:r>
      <w:r w:rsidRPr="003A2A2B">
        <w:rPr>
          <w:rFonts w:ascii="Arial Narrow" w:eastAsia="Times New Roman" w:hAnsi="Arial Narrow" w:cs="Arial"/>
          <w:b/>
          <w:bCs/>
        </w:rPr>
        <w:t xml:space="preserve"> </w:t>
      </w:r>
      <w:r w:rsidRPr="003A2A2B">
        <w:rPr>
          <w:rFonts w:ascii="Arial Narrow" w:eastAsia="Times New Roman" w:hAnsi="Arial Narrow" w:cs="Arial"/>
        </w:rPr>
        <w:t xml:space="preserve">1H79SM063422-01. </w:t>
      </w:r>
      <w:r w:rsidR="00744BEB" w:rsidRPr="003A2A2B">
        <w:rPr>
          <w:rFonts w:ascii="Arial Narrow" w:eastAsia="Times New Roman" w:hAnsi="Arial Narrow" w:cs="Arial"/>
        </w:rPr>
        <w:t>The purpose of the CMHSOC Grant is to improve behavioral health outco</w:t>
      </w:r>
      <w:r w:rsidR="00257463" w:rsidRPr="003A2A2B">
        <w:rPr>
          <w:rFonts w:ascii="Arial Narrow" w:eastAsia="Times New Roman" w:hAnsi="Arial Narrow" w:cs="Arial"/>
        </w:rPr>
        <w:t>mes of children and youth with S</w:t>
      </w:r>
      <w:r w:rsidR="00744BEB" w:rsidRPr="003A2A2B">
        <w:rPr>
          <w:rFonts w:ascii="Arial Narrow" w:eastAsia="Times New Roman" w:hAnsi="Arial Narrow" w:cs="Arial"/>
        </w:rPr>
        <w:t xml:space="preserve">erious </w:t>
      </w:r>
      <w:r w:rsidR="00257463" w:rsidRPr="003A2A2B">
        <w:rPr>
          <w:rFonts w:ascii="Arial Narrow" w:eastAsia="Times New Roman" w:hAnsi="Arial Narrow" w:cs="Arial"/>
        </w:rPr>
        <w:t>E</w:t>
      </w:r>
      <w:r w:rsidR="00744BEB" w:rsidRPr="003A2A2B">
        <w:rPr>
          <w:rFonts w:ascii="Arial Narrow" w:eastAsia="Times New Roman" w:hAnsi="Arial Narrow" w:cs="Arial"/>
        </w:rPr>
        <w:t xml:space="preserve">motional </w:t>
      </w:r>
      <w:r w:rsidR="00257463" w:rsidRPr="003A2A2B">
        <w:rPr>
          <w:rFonts w:ascii="Arial Narrow" w:eastAsia="Times New Roman" w:hAnsi="Arial Narrow" w:cs="Arial"/>
        </w:rPr>
        <w:t>D</w:t>
      </w:r>
      <w:r w:rsidR="00744BEB" w:rsidRPr="003A2A2B">
        <w:rPr>
          <w:rFonts w:ascii="Arial Narrow" w:eastAsia="Times New Roman" w:hAnsi="Arial Narrow" w:cs="Arial"/>
        </w:rPr>
        <w:t xml:space="preserve">isturbances </w:t>
      </w:r>
      <w:r w:rsidR="00257463" w:rsidRPr="003A2A2B">
        <w:rPr>
          <w:rFonts w:ascii="Arial Narrow" w:eastAsia="Times New Roman" w:hAnsi="Arial Narrow" w:cs="Arial"/>
        </w:rPr>
        <w:t xml:space="preserve">(SED) </w:t>
      </w:r>
      <w:r w:rsidR="00744BEB" w:rsidRPr="003A2A2B">
        <w:rPr>
          <w:rFonts w:ascii="Arial Narrow" w:eastAsia="Times New Roman" w:hAnsi="Arial Narrow" w:cs="Arial"/>
        </w:rPr>
        <w:t>and their families</w:t>
      </w:r>
      <w:r w:rsidR="006C7585" w:rsidRPr="003A2A2B">
        <w:rPr>
          <w:rFonts w:ascii="Arial Narrow" w:eastAsia="Times New Roman" w:hAnsi="Arial Narrow" w:cs="Arial"/>
        </w:rPr>
        <w:t>.</w:t>
      </w:r>
      <w:r w:rsidR="00744BEB" w:rsidRPr="003A2A2B">
        <w:rPr>
          <w:rFonts w:ascii="Arial Narrow" w:eastAsia="Times New Roman" w:hAnsi="Arial Narrow" w:cs="Arial"/>
        </w:rPr>
        <w:t xml:space="preserve"> The CMHSOC Grant funds a strategic initiative under which the Department, Managing Entities, subcontracted Network Service Providers, local project teams and other child serving stakeholders collaborate to expand and sustain outreach and access to community-based children’s behavioral health services and supports.</w:t>
      </w:r>
      <w:r w:rsidR="00030665" w:rsidRPr="003A2A2B">
        <w:rPr>
          <w:rFonts w:ascii="Arial Narrow" w:hAnsi="Arial Narrow"/>
        </w:rPr>
        <w:t xml:space="preserve"> </w:t>
      </w:r>
      <w:r w:rsidR="00030665" w:rsidRPr="003A2A2B">
        <w:rPr>
          <w:rFonts w:ascii="Arial Narrow" w:eastAsia="Times New Roman" w:hAnsi="Arial Narrow" w:cs="Arial"/>
        </w:rPr>
        <w:t xml:space="preserve">CMHSOC project should be implemented in compliance with the core value and guiding principles available at: </w:t>
      </w:r>
      <w:hyperlink r:id="rId8" w:history="1">
        <w:r w:rsidR="00030665" w:rsidRPr="003A2A2B">
          <w:rPr>
            <w:rFonts w:ascii="Arial Narrow" w:hAnsi="Arial Narrow"/>
          </w:rPr>
          <w:t>http://www.socflorida.com/about.html</w:t>
        </w:r>
      </w:hyperlink>
    </w:p>
    <w:p w:rsidR="005072DA" w:rsidRPr="003A2A2B" w:rsidRDefault="00030665" w:rsidP="00030665">
      <w:pPr>
        <w:spacing w:before="120" w:after="120" w:line="240" w:lineRule="auto"/>
        <w:jc w:val="both"/>
        <w:rPr>
          <w:rFonts w:ascii="Arial Narrow" w:eastAsia="Times New Roman" w:hAnsi="Arial Narrow" w:cs="Arial"/>
        </w:rPr>
      </w:pPr>
      <w:r w:rsidRPr="003A2A2B">
        <w:rPr>
          <w:rFonts w:ascii="Arial Narrow" w:eastAsia="Times New Roman" w:hAnsi="Arial Narrow" w:cs="Arial"/>
        </w:rPr>
        <w:t xml:space="preserve"> </w:t>
      </w:r>
    </w:p>
    <w:p w:rsidR="00E30FEA" w:rsidRPr="003A2A2B" w:rsidRDefault="006C7585" w:rsidP="001D65F3">
      <w:pPr>
        <w:pStyle w:val="Heading1"/>
        <w:keepNext w:val="0"/>
        <w:tabs>
          <w:tab w:val="left" w:pos="360"/>
        </w:tabs>
      </w:pPr>
      <w:r w:rsidRPr="003A2A2B">
        <w:t xml:space="preserve">Managing Entity </w:t>
      </w:r>
      <w:r w:rsidR="00DE7289" w:rsidRPr="003A2A2B">
        <w:t>Project Assignments by County</w:t>
      </w:r>
    </w:p>
    <w:p w:rsidR="00CB1B9F" w:rsidRPr="003A2A2B" w:rsidRDefault="00E30FEA" w:rsidP="001D65F3">
      <w:pPr>
        <w:pStyle w:val="Heading1"/>
        <w:keepNext w:val="0"/>
        <w:numPr>
          <w:ilvl w:val="0"/>
          <w:numId w:val="0"/>
        </w:numPr>
        <w:tabs>
          <w:tab w:val="left" w:pos="360"/>
        </w:tabs>
        <w:rPr>
          <w:b w:val="0"/>
        </w:rPr>
      </w:pPr>
      <w:r w:rsidRPr="003A2A2B">
        <w:rPr>
          <w:b w:val="0"/>
        </w:rPr>
        <w:t xml:space="preserve">The Managing Entity shall implement local CMHSOC projects </w:t>
      </w:r>
      <w:r w:rsidR="00257463" w:rsidRPr="003A2A2B">
        <w:rPr>
          <w:b w:val="0"/>
        </w:rPr>
        <w:t xml:space="preserve">in each of the designated counties specified in Table 1. </w:t>
      </w:r>
    </w:p>
    <w:tbl>
      <w:tblPr>
        <w:tblStyle w:val="Style1"/>
        <w:tblW w:w="0" w:type="auto"/>
        <w:jc w:val="center"/>
        <w:tblLook w:val="04A0" w:firstRow="1" w:lastRow="0" w:firstColumn="1" w:lastColumn="0" w:noHBand="0" w:noVBand="1"/>
      </w:tblPr>
      <w:tblGrid>
        <w:gridCol w:w="4402"/>
        <w:gridCol w:w="2520"/>
      </w:tblGrid>
      <w:tr w:rsidR="00CB1B9F" w:rsidRPr="003A2A2B" w:rsidTr="00873194">
        <w:trPr>
          <w:cnfStyle w:val="100000000000" w:firstRow="1" w:lastRow="0" w:firstColumn="0" w:lastColumn="0" w:oddVBand="0" w:evenVBand="0" w:oddHBand="0" w:evenHBand="0" w:firstRowFirstColumn="0" w:firstRowLastColumn="0" w:lastRowFirstColumn="0" w:lastRowLastColumn="0"/>
          <w:trHeight w:val="299"/>
          <w:jc w:val="center"/>
        </w:trPr>
        <w:tc>
          <w:tcPr>
            <w:tcW w:w="6842" w:type="dxa"/>
            <w:gridSpan w:val="2"/>
            <w:vAlign w:val="center"/>
          </w:tcPr>
          <w:p w:rsidR="00873194" w:rsidRPr="003A2A2B" w:rsidRDefault="00257463" w:rsidP="00873194">
            <w:pPr>
              <w:widowControl w:val="0"/>
              <w:autoSpaceDE w:val="0"/>
              <w:autoSpaceDN w:val="0"/>
              <w:spacing w:before="120" w:after="120" w:line="276" w:lineRule="auto"/>
              <w:contextualSpacing/>
              <w:jc w:val="center"/>
              <w:rPr>
                <w:rFonts w:ascii="Arial Narrow" w:hAnsi="Arial Narrow" w:cs="Arial"/>
                <w:b/>
                <w:sz w:val="22"/>
                <w:szCs w:val="22"/>
              </w:rPr>
            </w:pPr>
            <w:r w:rsidRPr="003A2A2B">
              <w:rPr>
                <w:rFonts w:ascii="Arial Narrow" w:hAnsi="Arial Narrow" w:cs="Arial"/>
                <w:b/>
                <w:sz w:val="22"/>
                <w:szCs w:val="22"/>
              </w:rPr>
              <w:t>Table 1 – Managing Entity CMHSOC Project</w:t>
            </w:r>
            <w:r w:rsidR="00CB1B9F" w:rsidRPr="003A2A2B">
              <w:rPr>
                <w:rFonts w:ascii="Arial Narrow" w:hAnsi="Arial Narrow" w:cs="Arial"/>
                <w:b/>
                <w:sz w:val="22"/>
                <w:szCs w:val="22"/>
              </w:rPr>
              <w:t xml:space="preserve"> Assignments</w:t>
            </w:r>
          </w:p>
        </w:tc>
      </w:tr>
      <w:tr w:rsidR="00CB1B9F" w:rsidRPr="003A2A2B" w:rsidTr="00873194">
        <w:trPr>
          <w:jc w:val="center"/>
        </w:trPr>
        <w:tc>
          <w:tcPr>
            <w:tcW w:w="4342" w:type="dxa"/>
          </w:tcPr>
          <w:p w:rsidR="00CB1B9F" w:rsidRPr="003A2A2B" w:rsidRDefault="00CB1B9F" w:rsidP="00CB1B9F">
            <w:pPr>
              <w:widowControl w:val="0"/>
              <w:autoSpaceDE w:val="0"/>
              <w:autoSpaceDN w:val="0"/>
              <w:spacing w:before="120" w:after="120" w:line="276" w:lineRule="auto"/>
              <w:contextualSpacing/>
              <w:jc w:val="center"/>
              <w:rPr>
                <w:rFonts w:ascii="Arial Narrow" w:hAnsi="Arial Narrow" w:cs="Arial"/>
                <w:b/>
                <w:sz w:val="22"/>
                <w:szCs w:val="22"/>
              </w:rPr>
            </w:pPr>
            <w:r w:rsidRPr="003A2A2B">
              <w:rPr>
                <w:rFonts w:ascii="Arial Narrow" w:hAnsi="Arial Narrow" w:cs="Arial"/>
                <w:b/>
                <w:sz w:val="22"/>
                <w:szCs w:val="22"/>
              </w:rPr>
              <w:t>Managing Entity</w:t>
            </w:r>
          </w:p>
        </w:tc>
        <w:tc>
          <w:tcPr>
            <w:tcW w:w="2460" w:type="dxa"/>
          </w:tcPr>
          <w:p w:rsidR="00CB1B9F" w:rsidRPr="003A2A2B" w:rsidRDefault="00CB1B9F" w:rsidP="00CB1B9F">
            <w:pPr>
              <w:widowControl w:val="0"/>
              <w:autoSpaceDE w:val="0"/>
              <w:autoSpaceDN w:val="0"/>
              <w:spacing w:before="120" w:after="120" w:line="276" w:lineRule="auto"/>
              <w:contextualSpacing/>
              <w:jc w:val="center"/>
              <w:rPr>
                <w:rFonts w:ascii="Arial Narrow" w:hAnsi="Arial Narrow" w:cs="Arial"/>
                <w:b/>
                <w:sz w:val="22"/>
                <w:szCs w:val="22"/>
              </w:rPr>
            </w:pPr>
            <w:r w:rsidRPr="003A2A2B">
              <w:rPr>
                <w:rFonts w:ascii="Arial Narrow" w:hAnsi="Arial Narrow" w:cs="Arial"/>
                <w:b/>
                <w:sz w:val="22"/>
                <w:szCs w:val="22"/>
              </w:rPr>
              <w:t>County</w:t>
            </w:r>
          </w:p>
        </w:tc>
      </w:tr>
      <w:tr w:rsidR="00163AC1" w:rsidRPr="003A2A2B" w:rsidTr="00873194">
        <w:trPr>
          <w:jc w:val="center"/>
        </w:trPr>
        <w:tc>
          <w:tcPr>
            <w:tcW w:w="4342" w:type="dxa"/>
            <w:vMerge w:val="restart"/>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Big Bend Community Based Care</w:t>
            </w:r>
          </w:p>
        </w:tc>
        <w:tc>
          <w:tcPr>
            <w:tcW w:w="2460" w:type="dxa"/>
          </w:tcPr>
          <w:p w:rsidR="00163AC1" w:rsidRPr="003A2A2B" w:rsidRDefault="00D40530"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 xml:space="preserve">Gadsden </w:t>
            </w:r>
            <w:r w:rsidR="00163AC1" w:rsidRPr="003A2A2B">
              <w:rPr>
                <w:rFonts w:ascii="Arial Narrow" w:hAnsi="Arial Narrow" w:cs="Arial"/>
                <w:sz w:val="22"/>
                <w:szCs w:val="22"/>
              </w:rPr>
              <w:t>County</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D40530"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 xml:space="preserve">Holmes </w:t>
            </w:r>
            <w:r w:rsidR="00163AC1" w:rsidRPr="003A2A2B">
              <w:rPr>
                <w:rFonts w:ascii="Arial Narrow" w:hAnsi="Arial Narrow" w:cs="Arial"/>
                <w:sz w:val="22"/>
                <w:szCs w:val="22"/>
              </w:rPr>
              <w:t xml:space="preserve">County </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D40530"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 xml:space="preserve">Jackson </w:t>
            </w:r>
            <w:r w:rsidR="00163AC1" w:rsidRPr="003A2A2B">
              <w:rPr>
                <w:rFonts w:ascii="Arial Narrow" w:hAnsi="Arial Narrow" w:cs="Arial"/>
                <w:sz w:val="22"/>
                <w:szCs w:val="22"/>
              </w:rPr>
              <w:t xml:space="preserve">County </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Washington County</w:t>
            </w:r>
          </w:p>
        </w:tc>
      </w:tr>
      <w:tr w:rsidR="00CB1B9F" w:rsidRPr="003A2A2B" w:rsidTr="00873194">
        <w:trPr>
          <w:trHeight w:val="262"/>
          <w:jc w:val="center"/>
        </w:trPr>
        <w:tc>
          <w:tcPr>
            <w:tcW w:w="4342" w:type="dxa"/>
            <w:vMerge w:val="restart"/>
          </w:tcPr>
          <w:p w:rsidR="00CB1B9F" w:rsidRPr="003A2A2B" w:rsidRDefault="00CB1B9F"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Central Florida Behavioral Health Network</w:t>
            </w:r>
          </w:p>
        </w:tc>
        <w:tc>
          <w:tcPr>
            <w:tcW w:w="2460" w:type="dxa"/>
          </w:tcPr>
          <w:p w:rsidR="00CB1B9F"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Pasco</w:t>
            </w:r>
            <w:r w:rsidR="00CB1B9F" w:rsidRPr="003A2A2B">
              <w:rPr>
                <w:rFonts w:ascii="Arial Narrow" w:hAnsi="Arial Narrow" w:cs="Arial"/>
                <w:sz w:val="22"/>
                <w:szCs w:val="22"/>
              </w:rPr>
              <w:t xml:space="preserve"> County</w:t>
            </w:r>
          </w:p>
        </w:tc>
      </w:tr>
      <w:tr w:rsidR="00CB1B9F" w:rsidRPr="003A2A2B" w:rsidTr="00873194">
        <w:trPr>
          <w:trHeight w:val="253"/>
          <w:jc w:val="center"/>
        </w:trPr>
        <w:tc>
          <w:tcPr>
            <w:tcW w:w="4342" w:type="dxa"/>
            <w:vMerge/>
          </w:tcPr>
          <w:p w:rsidR="00CB1B9F" w:rsidRPr="003A2A2B" w:rsidRDefault="00CB1B9F"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CB1B9F"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Pinellas</w:t>
            </w:r>
            <w:r w:rsidR="00CB1B9F" w:rsidRPr="003A2A2B">
              <w:rPr>
                <w:rFonts w:ascii="Arial Narrow" w:hAnsi="Arial Narrow" w:cs="Arial"/>
                <w:sz w:val="22"/>
                <w:szCs w:val="22"/>
              </w:rPr>
              <w:t xml:space="preserve"> County</w:t>
            </w:r>
          </w:p>
        </w:tc>
      </w:tr>
      <w:tr w:rsidR="00163AC1" w:rsidRPr="003A2A2B" w:rsidTr="00873194">
        <w:trPr>
          <w:jc w:val="center"/>
        </w:trPr>
        <w:tc>
          <w:tcPr>
            <w:tcW w:w="4342" w:type="dxa"/>
            <w:vMerge w:val="restart"/>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Lutheran Services Florida</w:t>
            </w:r>
          </w:p>
        </w:tc>
        <w:tc>
          <w:tcPr>
            <w:tcW w:w="2460" w:type="dxa"/>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Alachua</w:t>
            </w:r>
            <w:r w:rsidR="00D40530" w:rsidRPr="003A2A2B">
              <w:rPr>
                <w:rFonts w:ascii="Arial Narrow" w:hAnsi="Arial Narrow" w:cs="Arial"/>
                <w:sz w:val="22"/>
                <w:szCs w:val="22"/>
              </w:rPr>
              <w:t xml:space="preserve"> County</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Flagler</w:t>
            </w:r>
            <w:r w:rsidR="00D40530" w:rsidRPr="003A2A2B">
              <w:rPr>
                <w:rFonts w:ascii="Arial Narrow" w:hAnsi="Arial Narrow" w:cs="Arial"/>
                <w:sz w:val="22"/>
                <w:szCs w:val="22"/>
              </w:rPr>
              <w:t xml:space="preserve"> County</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Putnam County</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163AC1" w:rsidP="00163AC1">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St. Johns County</w:t>
            </w:r>
          </w:p>
        </w:tc>
      </w:tr>
      <w:tr w:rsidR="00163AC1" w:rsidRPr="003A2A2B" w:rsidTr="00873194">
        <w:trPr>
          <w:jc w:val="center"/>
        </w:trPr>
        <w:tc>
          <w:tcPr>
            <w:tcW w:w="4342" w:type="dxa"/>
            <w:vMerge/>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p>
        </w:tc>
        <w:tc>
          <w:tcPr>
            <w:tcW w:w="2460" w:type="dxa"/>
          </w:tcPr>
          <w:p w:rsidR="00163AC1" w:rsidRPr="003A2A2B" w:rsidRDefault="00163AC1"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Volusia County</w:t>
            </w:r>
          </w:p>
        </w:tc>
      </w:tr>
      <w:tr w:rsidR="00873194" w:rsidRPr="003A2A2B" w:rsidTr="00873194">
        <w:trPr>
          <w:trHeight w:val="144"/>
          <w:jc w:val="center"/>
        </w:trPr>
        <w:tc>
          <w:tcPr>
            <w:tcW w:w="4342" w:type="dxa"/>
            <w:vMerge w:val="restart"/>
          </w:tcPr>
          <w:p w:rsidR="00873194" w:rsidRPr="003A2A2B" w:rsidRDefault="00873194"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Southeast Florida Behavioral Health Network</w:t>
            </w:r>
          </w:p>
        </w:tc>
        <w:tc>
          <w:tcPr>
            <w:tcW w:w="2460" w:type="dxa"/>
          </w:tcPr>
          <w:p w:rsidR="00873194" w:rsidRPr="003A2A2B" w:rsidRDefault="00873194" w:rsidP="00CB1B9F">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 xml:space="preserve">Okeechobee County </w:t>
            </w:r>
          </w:p>
        </w:tc>
      </w:tr>
      <w:tr w:rsidR="00873194" w:rsidRPr="003A2A2B" w:rsidTr="00873194">
        <w:trPr>
          <w:trHeight w:val="144"/>
          <w:jc w:val="center"/>
        </w:trPr>
        <w:tc>
          <w:tcPr>
            <w:tcW w:w="4342" w:type="dxa"/>
            <w:vMerge/>
          </w:tcPr>
          <w:p w:rsidR="00873194" w:rsidRPr="003A2A2B" w:rsidRDefault="00873194" w:rsidP="00873194">
            <w:pPr>
              <w:widowControl w:val="0"/>
              <w:autoSpaceDE w:val="0"/>
              <w:autoSpaceDN w:val="0"/>
              <w:spacing w:before="120" w:after="120" w:line="276" w:lineRule="auto"/>
              <w:contextualSpacing/>
              <w:rPr>
                <w:rFonts w:ascii="Arial Narrow" w:hAnsi="Arial Narrow" w:cs="Arial"/>
              </w:rPr>
            </w:pPr>
          </w:p>
        </w:tc>
        <w:tc>
          <w:tcPr>
            <w:tcW w:w="2460" w:type="dxa"/>
          </w:tcPr>
          <w:p w:rsidR="00873194" w:rsidRPr="003A2A2B" w:rsidRDefault="00873194" w:rsidP="00873194">
            <w:pPr>
              <w:widowControl w:val="0"/>
              <w:autoSpaceDE w:val="0"/>
              <w:autoSpaceDN w:val="0"/>
              <w:spacing w:before="120" w:after="120" w:line="276" w:lineRule="auto"/>
              <w:contextualSpacing/>
              <w:rPr>
                <w:rFonts w:ascii="Arial Narrow" w:hAnsi="Arial Narrow" w:cs="Arial"/>
                <w:sz w:val="22"/>
                <w:szCs w:val="22"/>
              </w:rPr>
            </w:pPr>
            <w:r w:rsidRPr="003A2A2B">
              <w:rPr>
                <w:rFonts w:ascii="Arial Narrow" w:hAnsi="Arial Narrow" w:cs="Arial"/>
                <w:sz w:val="22"/>
                <w:szCs w:val="22"/>
              </w:rPr>
              <w:t>Glades area of Palm Beach County</w:t>
            </w:r>
          </w:p>
        </w:tc>
      </w:tr>
    </w:tbl>
    <w:p w:rsidR="00DE7289" w:rsidRPr="003A2A2B" w:rsidRDefault="00DE7289" w:rsidP="0008284E">
      <w:pPr>
        <w:pStyle w:val="Heading1"/>
        <w:tabs>
          <w:tab w:val="left" w:pos="360"/>
        </w:tabs>
      </w:pPr>
      <w:r w:rsidRPr="003A2A2B">
        <w:lastRenderedPageBreak/>
        <w:t>Service Array</w:t>
      </w:r>
    </w:p>
    <w:p w:rsidR="00004756" w:rsidRPr="003A2A2B" w:rsidRDefault="00004756" w:rsidP="00004756">
      <w:pPr>
        <w:rPr>
          <w:rFonts w:ascii="Arial Narrow" w:hAnsi="Arial Narrow"/>
        </w:rPr>
      </w:pPr>
      <w:r w:rsidRPr="003A2A2B">
        <w:rPr>
          <w:rFonts w:ascii="Arial Narrow" w:hAnsi="Arial Narrow"/>
        </w:rPr>
        <w:t xml:space="preserve"> The intent of the CMHSOC project is to expand the availability of and </w:t>
      </w:r>
      <w:r w:rsidR="003228C1" w:rsidRPr="003A2A2B">
        <w:rPr>
          <w:rFonts w:ascii="Arial Narrow" w:hAnsi="Arial Narrow"/>
        </w:rPr>
        <w:t>facilitate</w:t>
      </w:r>
      <w:r w:rsidR="00A61823" w:rsidRPr="003A2A2B">
        <w:rPr>
          <w:rFonts w:ascii="Arial Narrow" w:hAnsi="Arial Narrow"/>
        </w:rPr>
        <w:t xml:space="preserve"> </w:t>
      </w:r>
      <w:r w:rsidRPr="003A2A2B">
        <w:rPr>
          <w:rFonts w:ascii="Arial Narrow" w:hAnsi="Arial Narrow"/>
        </w:rPr>
        <w:t xml:space="preserve">access to an array of </w:t>
      </w:r>
      <w:r w:rsidR="00A61823" w:rsidRPr="003A2A2B">
        <w:rPr>
          <w:rFonts w:ascii="Arial Narrow" w:hAnsi="Arial Narrow"/>
        </w:rPr>
        <w:t xml:space="preserve">community-based behavioral health </w:t>
      </w:r>
      <w:r w:rsidRPr="003A2A2B">
        <w:rPr>
          <w:rFonts w:ascii="Arial Narrow" w:hAnsi="Arial Narrow"/>
        </w:rPr>
        <w:t xml:space="preserve">services and supports effective in </w:t>
      </w:r>
      <w:r w:rsidR="00A61823" w:rsidRPr="003A2A2B">
        <w:rPr>
          <w:rFonts w:ascii="Arial Narrow" w:hAnsi="Arial Narrow"/>
        </w:rPr>
        <w:t xml:space="preserve">improving outcomes for </w:t>
      </w:r>
      <w:r w:rsidRPr="003A2A2B">
        <w:rPr>
          <w:rFonts w:ascii="Arial Narrow" w:hAnsi="Arial Narrow"/>
        </w:rPr>
        <w:t xml:space="preserve">children and youth with serious </w:t>
      </w:r>
      <w:r w:rsidR="00A61823" w:rsidRPr="003A2A2B">
        <w:rPr>
          <w:rFonts w:ascii="Arial Narrow" w:hAnsi="Arial Narrow"/>
        </w:rPr>
        <w:t xml:space="preserve">emotional </w:t>
      </w:r>
      <w:r w:rsidR="003228C1" w:rsidRPr="003A2A2B">
        <w:rPr>
          <w:rFonts w:ascii="Arial Narrow" w:hAnsi="Arial Narrow"/>
        </w:rPr>
        <w:t>disturbances</w:t>
      </w:r>
      <w:r w:rsidRPr="003A2A2B">
        <w:rPr>
          <w:rFonts w:ascii="Arial Narrow" w:hAnsi="Arial Narrow"/>
        </w:rPr>
        <w:t xml:space="preserve"> and their families, with the goal of sustainability. The required array of services and supports to be funded by the CMHSOC project</w:t>
      </w:r>
      <w:r w:rsidR="005551DB" w:rsidRPr="003A2A2B">
        <w:rPr>
          <w:rFonts w:ascii="Arial Narrow" w:hAnsi="Arial Narrow"/>
        </w:rPr>
        <w:t>,</w:t>
      </w:r>
      <w:r w:rsidRPr="003A2A2B">
        <w:rPr>
          <w:rFonts w:ascii="Arial Narrow" w:hAnsi="Arial Narrow"/>
        </w:rPr>
        <w:t xml:space="preserve"> for which those served must have access is outlined in Section III. A.  </w:t>
      </w:r>
    </w:p>
    <w:p w:rsidR="00004756" w:rsidRPr="003A2A2B" w:rsidRDefault="00004756" w:rsidP="00004756">
      <w:pPr>
        <w:rPr>
          <w:rFonts w:ascii="Arial Narrow" w:hAnsi="Arial Narrow"/>
        </w:rPr>
      </w:pPr>
      <w:r w:rsidRPr="003A2A2B">
        <w:rPr>
          <w:rFonts w:ascii="Arial Narrow" w:hAnsi="Arial Narrow"/>
        </w:rPr>
        <w:t>The Managing Entity shall conduct a community needs assessment to determine the availability of and accessibility to the required CMHSOC-funded service array in each county listed in Section II. In addition, the needs assessment will identify underserved populations eligible to be served by the CMHSOC project to inform the development of outreach and service delivery strategies. The Managing Entity may subcontract for completion of the community needs assessment activities.</w:t>
      </w:r>
    </w:p>
    <w:p w:rsidR="00004756" w:rsidRPr="003A2A2B" w:rsidRDefault="00004756" w:rsidP="00004756">
      <w:pPr>
        <w:rPr>
          <w:rFonts w:ascii="Arial Narrow" w:hAnsi="Arial Narrow"/>
        </w:rPr>
      </w:pPr>
      <w:r w:rsidRPr="003A2A2B">
        <w:rPr>
          <w:rFonts w:ascii="Arial Narrow" w:hAnsi="Arial Narrow"/>
        </w:rPr>
        <w:t>The community needs assessment shall solicit community stakeholder input into the availability of and accessibility to the required CMHSOC-funded service array and strategies for addressing service gaps and barriers to accessibility. Based on local need and pre-existing availability of required services, the Managing Entity shall then subcontract for any necessary CMHSOC-Funded Required services identified in the community needs assessments for each location.</w:t>
      </w:r>
    </w:p>
    <w:p w:rsidR="00DE7289" w:rsidRPr="003A2A2B" w:rsidRDefault="00CF6566" w:rsidP="0008284E">
      <w:pPr>
        <w:pStyle w:val="Heading2"/>
        <w:keepLines w:val="0"/>
        <w:tabs>
          <w:tab w:val="left" w:pos="900"/>
        </w:tabs>
        <w:spacing w:before="120" w:after="120" w:line="240" w:lineRule="auto"/>
        <w:ind w:left="450"/>
        <w:rPr>
          <w:rFonts w:ascii="Arial Narrow" w:hAnsi="Arial Narrow"/>
          <w:b/>
          <w:color w:val="auto"/>
          <w:sz w:val="22"/>
          <w:szCs w:val="22"/>
        </w:rPr>
      </w:pPr>
      <w:r w:rsidRPr="003A2A2B">
        <w:rPr>
          <w:rFonts w:ascii="Arial Narrow" w:hAnsi="Arial Narrow"/>
          <w:b/>
          <w:color w:val="auto"/>
          <w:sz w:val="22"/>
          <w:szCs w:val="22"/>
        </w:rPr>
        <w:t>CM</w:t>
      </w:r>
      <w:r w:rsidR="00BA3403" w:rsidRPr="003A2A2B">
        <w:rPr>
          <w:rFonts w:ascii="Arial Narrow" w:hAnsi="Arial Narrow"/>
          <w:b/>
          <w:color w:val="auto"/>
          <w:sz w:val="22"/>
          <w:szCs w:val="22"/>
        </w:rPr>
        <w:t>H</w:t>
      </w:r>
      <w:r w:rsidRPr="003A2A2B">
        <w:rPr>
          <w:rFonts w:ascii="Arial Narrow" w:hAnsi="Arial Narrow"/>
          <w:b/>
          <w:color w:val="auto"/>
          <w:sz w:val="22"/>
          <w:szCs w:val="22"/>
        </w:rPr>
        <w:t>SOC</w:t>
      </w:r>
      <w:r w:rsidR="00BA3403" w:rsidRPr="003A2A2B">
        <w:rPr>
          <w:rFonts w:ascii="Arial Narrow" w:hAnsi="Arial Narrow"/>
          <w:b/>
          <w:color w:val="auto"/>
          <w:sz w:val="22"/>
          <w:szCs w:val="22"/>
        </w:rPr>
        <w:t>-</w:t>
      </w:r>
      <w:r w:rsidRPr="003A2A2B">
        <w:rPr>
          <w:rFonts w:ascii="Arial Narrow" w:hAnsi="Arial Narrow"/>
          <w:b/>
          <w:color w:val="auto"/>
          <w:sz w:val="22"/>
          <w:szCs w:val="22"/>
        </w:rPr>
        <w:t>Funded Required Mental Health and Support Services</w:t>
      </w:r>
    </w:p>
    <w:p w:rsidR="005D0608" w:rsidRPr="003A2A2B" w:rsidRDefault="00480B05" w:rsidP="0008284E">
      <w:pPr>
        <w:pStyle w:val="Heading1"/>
        <w:numPr>
          <w:ilvl w:val="0"/>
          <w:numId w:val="0"/>
        </w:numPr>
        <w:tabs>
          <w:tab w:val="left" w:pos="360"/>
        </w:tabs>
        <w:ind w:left="450"/>
        <w:rPr>
          <w:b w:val="0"/>
        </w:rPr>
      </w:pPr>
      <w:r w:rsidRPr="003A2A2B">
        <w:rPr>
          <w:b w:val="0"/>
        </w:rPr>
        <w:t>Combining pre-existing services and services provided using CMHSOC funds, t</w:t>
      </w:r>
      <w:r w:rsidR="005D0608" w:rsidRPr="003A2A2B">
        <w:rPr>
          <w:b w:val="0"/>
        </w:rPr>
        <w:t>h</w:t>
      </w:r>
      <w:r w:rsidR="0032188D" w:rsidRPr="003A2A2B">
        <w:rPr>
          <w:b w:val="0"/>
        </w:rPr>
        <w:t xml:space="preserve">e </w:t>
      </w:r>
      <w:r w:rsidR="005D0608" w:rsidRPr="003A2A2B">
        <w:rPr>
          <w:b w:val="0"/>
        </w:rPr>
        <w:t>s</w:t>
      </w:r>
      <w:r w:rsidR="0032188D" w:rsidRPr="003A2A2B">
        <w:rPr>
          <w:b w:val="0"/>
        </w:rPr>
        <w:t>ervice</w:t>
      </w:r>
      <w:r w:rsidR="005D0608" w:rsidRPr="003A2A2B">
        <w:rPr>
          <w:b w:val="0"/>
        </w:rPr>
        <w:t xml:space="preserve"> array must consist of, but is not limited to:</w:t>
      </w:r>
    </w:p>
    <w:p w:rsidR="00F92ACE"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sz w:val="22"/>
          <w:szCs w:val="22"/>
        </w:rPr>
      </w:pPr>
      <w:r w:rsidRPr="003A2A2B">
        <w:rPr>
          <w:rFonts w:ascii="Arial Narrow" w:hAnsi="Arial Narrow"/>
          <w:color w:val="auto"/>
          <w:sz w:val="22"/>
          <w:szCs w:val="22"/>
        </w:rPr>
        <w:t>Diagnostic and evaluation services;</w:t>
      </w:r>
    </w:p>
    <w:p w:rsidR="00DE7289" w:rsidRPr="003A2A2B" w:rsidRDefault="00F92ACE" w:rsidP="00DE7289">
      <w:pPr>
        <w:pStyle w:val="Heading3"/>
        <w:keepNext w:val="0"/>
        <w:keepLines w:val="0"/>
        <w:tabs>
          <w:tab w:val="left" w:pos="1260"/>
          <w:tab w:val="left" w:pos="1440"/>
        </w:tabs>
        <w:spacing w:before="120" w:after="120" w:line="240" w:lineRule="auto"/>
        <w:ind w:left="900"/>
        <w:rPr>
          <w:rFonts w:ascii="Arial Narrow" w:hAnsi="Arial Narrow"/>
          <w:sz w:val="22"/>
          <w:szCs w:val="22"/>
        </w:rPr>
      </w:pPr>
      <w:r w:rsidRPr="003A2A2B">
        <w:rPr>
          <w:rFonts w:ascii="Arial Narrow" w:hAnsi="Arial Narrow"/>
          <w:color w:val="auto"/>
          <w:sz w:val="22"/>
          <w:szCs w:val="22"/>
        </w:rPr>
        <w:t>Case Management services with focus on cross-systems care management processes</w:t>
      </w:r>
      <w:r w:rsidR="00DE7289" w:rsidRPr="003A2A2B">
        <w:rPr>
          <w:rFonts w:ascii="Arial Narrow" w:hAnsi="Arial Narrow"/>
          <w:color w:val="auto"/>
          <w:sz w:val="22"/>
          <w:szCs w:val="22"/>
        </w:rPr>
        <w:t xml:space="preserve">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Outpatient services</w:t>
      </w:r>
      <w:r w:rsidR="008420C5" w:rsidRPr="003A2A2B">
        <w:rPr>
          <w:rFonts w:ascii="Arial Narrow" w:hAnsi="Arial Narrow"/>
          <w:color w:val="auto"/>
          <w:sz w:val="22"/>
          <w:szCs w:val="22"/>
        </w:rPr>
        <w:t xml:space="preserve"> provided in a clinic, office school, </w:t>
      </w:r>
      <w:r w:rsidR="003228C1" w:rsidRPr="003A2A2B">
        <w:rPr>
          <w:rFonts w:ascii="Arial Narrow" w:hAnsi="Arial Narrow"/>
          <w:color w:val="auto"/>
          <w:sz w:val="22"/>
          <w:szCs w:val="22"/>
        </w:rPr>
        <w:t>family’s</w:t>
      </w:r>
      <w:r w:rsidR="008420C5" w:rsidRPr="003A2A2B">
        <w:rPr>
          <w:rFonts w:ascii="Arial Narrow" w:hAnsi="Arial Narrow"/>
          <w:color w:val="auto"/>
          <w:sz w:val="22"/>
          <w:szCs w:val="22"/>
        </w:rPr>
        <w:t xml:space="preserve"> home or other </w:t>
      </w:r>
      <w:r w:rsidR="003228C1" w:rsidRPr="003A2A2B">
        <w:rPr>
          <w:rFonts w:ascii="Arial Narrow" w:hAnsi="Arial Narrow"/>
          <w:color w:val="auto"/>
          <w:sz w:val="22"/>
          <w:szCs w:val="22"/>
        </w:rPr>
        <w:t>appropriate</w:t>
      </w:r>
      <w:r w:rsidR="008420C5" w:rsidRPr="003A2A2B">
        <w:rPr>
          <w:rFonts w:ascii="Arial Narrow" w:hAnsi="Arial Narrow"/>
          <w:color w:val="auto"/>
          <w:sz w:val="22"/>
          <w:szCs w:val="22"/>
        </w:rPr>
        <w:t xml:space="preserve"> community settings)</w:t>
      </w:r>
      <w:r w:rsidRPr="003A2A2B">
        <w:rPr>
          <w:rFonts w:ascii="Arial Narrow" w:hAnsi="Arial Narrow"/>
          <w:color w:val="auto"/>
          <w:sz w:val="22"/>
          <w:szCs w:val="22"/>
        </w:rPr>
        <w:t xml:space="preserve"> including individual, group and family counseling services; professional consultation; and review and management of medications; </w:t>
      </w:r>
    </w:p>
    <w:p w:rsidR="00DE7289" w:rsidRPr="003A2A2B" w:rsidRDefault="008420C5"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Crisis Support/Emergency services </w:t>
      </w:r>
      <w:r w:rsidR="00DE7289" w:rsidRPr="003A2A2B">
        <w:rPr>
          <w:rFonts w:ascii="Arial Narrow" w:hAnsi="Arial Narrow"/>
          <w:color w:val="auto"/>
          <w:sz w:val="22"/>
          <w:szCs w:val="22"/>
        </w:rPr>
        <w:t>24-hour emergency services, seven days a week</w:t>
      </w:r>
      <w:r w:rsidR="00D41ED1" w:rsidRPr="003A2A2B">
        <w:rPr>
          <w:rFonts w:ascii="Arial Narrow" w:hAnsi="Arial Narrow"/>
          <w:color w:val="auto"/>
          <w:sz w:val="22"/>
          <w:szCs w:val="22"/>
        </w:rPr>
        <w:t>, including mobile crisis outreach and crisis intervention</w:t>
      </w:r>
      <w:r w:rsidR="00DE7289" w:rsidRPr="003A2A2B">
        <w:rPr>
          <w:rFonts w:ascii="Arial Narrow" w:hAnsi="Arial Narrow"/>
          <w:color w:val="auto"/>
          <w:sz w:val="22"/>
          <w:szCs w:val="22"/>
        </w:rPr>
        <w:t xml:space="preserve">;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Intensive home-based services </w:t>
      </w:r>
      <w:r w:rsidR="004C60D7" w:rsidRPr="003A2A2B">
        <w:rPr>
          <w:rFonts w:ascii="Arial Narrow" w:hAnsi="Arial Narrow"/>
          <w:color w:val="auto"/>
          <w:sz w:val="22"/>
          <w:szCs w:val="22"/>
        </w:rPr>
        <w:t xml:space="preserve">available 24 hours a day, 7 days a week </w:t>
      </w:r>
      <w:r w:rsidRPr="003A2A2B">
        <w:rPr>
          <w:rFonts w:ascii="Arial Narrow" w:hAnsi="Arial Narrow"/>
          <w:color w:val="auto"/>
          <w:sz w:val="22"/>
          <w:szCs w:val="22"/>
        </w:rPr>
        <w:t>for the children and their families when the child is at imminent risk of out-of-home placement</w:t>
      </w:r>
      <w:r w:rsidR="004C60D7" w:rsidRPr="003A2A2B">
        <w:rPr>
          <w:rFonts w:ascii="Arial Narrow" w:hAnsi="Arial Narrow"/>
          <w:color w:val="auto"/>
          <w:sz w:val="22"/>
          <w:szCs w:val="22"/>
        </w:rPr>
        <w:t xml:space="preserve"> or upon return from out of home placement</w:t>
      </w:r>
      <w:r w:rsidRPr="003A2A2B">
        <w:rPr>
          <w:rFonts w:ascii="Arial Narrow" w:hAnsi="Arial Narrow"/>
          <w:color w:val="auto"/>
          <w:sz w:val="22"/>
          <w:szCs w:val="22"/>
        </w:rPr>
        <w:t xml:space="preserve">;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Intensive day treatment services;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Respite care;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Therapeutic foster care services, services in therapeutic foster family homes or individual therapeutic residential homes, and group homes caring for not more than 10 children;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Assisting the </w:t>
      </w:r>
      <w:r w:rsidR="004C60D7" w:rsidRPr="003A2A2B">
        <w:rPr>
          <w:rFonts w:ascii="Arial Narrow" w:hAnsi="Arial Narrow"/>
          <w:color w:val="auto"/>
          <w:sz w:val="22"/>
          <w:szCs w:val="22"/>
        </w:rPr>
        <w:t>youth</w:t>
      </w:r>
      <w:r w:rsidRPr="003A2A2B">
        <w:rPr>
          <w:rFonts w:ascii="Arial Narrow" w:hAnsi="Arial Narrow"/>
          <w:color w:val="auto"/>
          <w:sz w:val="22"/>
          <w:szCs w:val="22"/>
        </w:rPr>
        <w:t xml:space="preserve"> in making the transition from services received as a child to the services to be received as an adult; and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Other recovery support services, such as supported employment; and </w:t>
      </w:r>
    </w:p>
    <w:p w:rsidR="00DE7289" w:rsidRPr="003A2A2B" w:rsidRDefault="00DE7289" w:rsidP="00DE728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Programs to provide treatment to youth with early onset of SED or Serious Mental Illness (SMI).</w:t>
      </w:r>
    </w:p>
    <w:p w:rsidR="00DE7289" w:rsidRPr="003A2A2B" w:rsidRDefault="0032188D" w:rsidP="00CF6566">
      <w:pPr>
        <w:pStyle w:val="Heading2"/>
        <w:keepNext w:val="0"/>
        <w:keepLines w:val="0"/>
        <w:tabs>
          <w:tab w:val="left" w:pos="900"/>
        </w:tabs>
        <w:spacing w:before="120" w:after="120" w:line="240" w:lineRule="auto"/>
        <w:ind w:left="450"/>
        <w:rPr>
          <w:rFonts w:ascii="Arial Narrow" w:hAnsi="Arial Narrow"/>
          <w:b/>
          <w:color w:val="auto"/>
          <w:sz w:val="22"/>
          <w:szCs w:val="22"/>
        </w:rPr>
      </w:pPr>
      <w:r w:rsidRPr="003A2A2B">
        <w:rPr>
          <w:rFonts w:ascii="Arial Narrow" w:hAnsi="Arial Narrow"/>
          <w:b/>
          <w:color w:val="auto"/>
          <w:sz w:val="22"/>
          <w:szCs w:val="22"/>
        </w:rPr>
        <w:t xml:space="preserve">Other </w:t>
      </w:r>
      <w:r w:rsidR="00FA0669" w:rsidRPr="003A2A2B">
        <w:rPr>
          <w:rFonts w:ascii="Arial Narrow" w:hAnsi="Arial Narrow"/>
          <w:b/>
          <w:color w:val="auto"/>
          <w:sz w:val="22"/>
          <w:szCs w:val="22"/>
        </w:rPr>
        <w:t>CMHSOC</w:t>
      </w:r>
      <w:r w:rsidRPr="003A2A2B">
        <w:rPr>
          <w:rFonts w:ascii="Arial Narrow" w:hAnsi="Arial Narrow"/>
          <w:b/>
          <w:color w:val="auto"/>
          <w:sz w:val="22"/>
          <w:szCs w:val="22"/>
        </w:rPr>
        <w:t>-</w:t>
      </w:r>
      <w:r w:rsidR="005D0608" w:rsidRPr="003A2A2B">
        <w:rPr>
          <w:rFonts w:ascii="Arial Narrow" w:hAnsi="Arial Narrow"/>
          <w:b/>
          <w:color w:val="auto"/>
          <w:sz w:val="22"/>
          <w:szCs w:val="22"/>
        </w:rPr>
        <w:t>Funded Allowable Services</w:t>
      </w:r>
    </w:p>
    <w:p w:rsidR="005D0608" w:rsidRPr="003A2A2B" w:rsidRDefault="005D0608" w:rsidP="0032188D">
      <w:pPr>
        <w:pStyle w:val="Heading1"/>
        <w:keepNext w:val="0"/>
        <w:numPr>
          <w:ilvl w:val="0"/>
          <w:numId w:val="0"/>
        </w:numPr>
        <w:tabs>
          <w:tab w:val="left" w:pos="360"/>
        </w:tabs>
        <w:ind w:left="450"/>
        <w:rPr>
          <w:b w:val="0"/>
        </w:rPr>
      </w:pPr>
      <w:r w:rsidRPr="003A2A2B">
        <w:rPr>
          <w:b w:val="0"/>
        </w:rPr>
        <w:t>In addition</w:t>
      </w:r>
      <w:r w:rsidR="0032188D" w:rsidRPr="003A2A2B">
        <w:rPr>
          <w:b w:val="0"/>
        </w:rPr>
        <w:t xml:space="preserve">, </w:t>
      </w:r>
      <w:r w:rsidRPr="003A2A2B">
        <w:rPr>
          <w:b w:val="0"/>
        </w:rPr>
        <w:t>the M</w:t>
      </w:r>
      <w:r w:rsidR="0032188D" w:rsidRPr="003A2A2B">
        <w:rPr>
          <w:b w:val="0"/>
        </w:rPr>
        <w:t xml:space="preserve">anaging </w:t>
      </w:r>
      <w:r w:rsidR="00A50E14" w:rsidRPr="003A2A2B">
        <w:rPr>
          <w:b w:val="0"/>
        </w:rPr>
        <w:t>Entity</w:t>
      </w:r>
      <w:r w:rsidRPr="003A2A2B">
        <w:rPr>
          <w:b w:val="0"/>
        </w:rPr>
        <w:t xml:space="preserve"> may </w:t>
      </w:r>
      <w:r w:rsidR="0032188D" w:rsidRPr="003A2A2B">
        <w:rPr>
          <w:b w:val="0"/>
        </w:rPr>
        <w:t xml:space="preserve">subcontract for any of </w:t>
      </w:r>
      <w:r w:rsidRPr="003A2A2B">
        <w:rPr>
          <w:b w:val="0"/>
        </w:rPr>
        <w:t>the following optional services</w:t>
      </w:r>
      <w:r w:rsidR="00594194" w:rsidRPr="003A2A2B">
        <w:rPr>
          <w:b w:val="0"/>
        </w:rPr>
        <w:t xml:space="preserve"> </w:t>
      </w:r>
      <w:r w:rsidR="0027271C" w:rsidRPr="003A2A2B">
        <w:rPr>
          <w:b w:val="0"/>
        </w:rPr>
        <w:t xml:space="preserve">and </w:t>
      </w:r>
      <w:r w:rsidR="00594194" w:rsidRPr="003A2A2B">
        <w:rPr>
          <w:b w:val="0"/>
        </w:rPr>
        <w:t>other mental health services no</w:t>
      </w:r>
      <w:r w:rsidR="0027271C" w:rsidRPr="003A2A2B">
        <w:rPr>
          <w:b w:val="0"/>
        </w:rPr>
        <w:t>t</w:t>
      </w:r>
      <w:r w:rsidR="00594194" w:rsidRPr="003A2A2B">
        <w:rPr>
          <w:b w:val="0"/>
        </w:rPr>
        <w:t xml:space="preserve"> specifically referenced in </w:t>
      </w:r>
      <w:r w:rsidR="0027271C" w:rsidRPr="003A2A2B">
        <w:rPr>
          <w:b w:val="0"/>
        </w:rPr>
        <w:t xml:space="preserve">Section </w:t>
      </w:r>
      <w:r w:rsidR="00594194" w:rsidRPr="003A2A2B">
        <w:rPr>
          <w:b w:val="0"/>
        </w:rPr>
        <w:t xml:space="preserve">III C as </w:t>
      </w:r>
      <w:r w:rsidR="0027271C" w:rsidRPr="003A2A2B">
        <w:rPr>
          <w:b w:val="0"/>
        </w:rPr>
        <w:t>Non-CMHSOC-funded Services</w:t>
      </w:r>
      <w:r w:rsidRPr="003A2A2B">
        <w:rPr>
          <w:b w:val="0"/>
        </w:rPr>
        <w:t>:</w:t>
      </w:r>
    </w:p>
    <w:p w:rsidR="00030665" w:rsidRPr="003A2A2B" w:rsidRDefault="00030665" w:rsidP="0003066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Screening assessments to determine whether a child is eligible for services;</w:t>
      </w:r>
    </w:p>
    <w:p w:rsidR="00CF6566" w:rsidRPr="003A2A2B" w:rsidRDefault="00CF6566" w:rsidP="00CF6566">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lastRenderedPageBreak/>
        <w:t xml:space="preserve">Training in SOC development and implementation, including evidence-based, practice-based or community-defined interventions; </w:t>
      </w:r>
    </w:p>
    <w:p w:rsidR="00CF6566" w:rsidRPr="003A2A2B" w:rsidRDefault="00CF6566" w:rsidP="00CF6566">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Therapeutic recreational activities;</w:t>
      </w:r>
    </w:p>
    <w:p w:rsidR="00FA0669" w:rsidRPr="003A2A2B" w:rsidRDefault="00FA0669" w:rsidP="00FA066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Mental health services</w:t>
      </w:r>
      <w:r w:rsidR="0027271C" w:rsidRPr="003A2A2B">
        <w:rPr>
          <w:rFonts w:ascii="Arial Narrow" w:hAnsi="Arial Narrow"/>
          <w:color w:val="auto"/>
          <w:sz w:val="22"/>
          <w:szCs w:val="22"/>
        </w:rPr>
        <w:t xml:space="preserve">, excluding </w:t>
      </w:r>
      <w:r w:rsidRPr="003A2A2B">
        <w:rPr>
          <w:rFonts w:ascii="Arial Narrow" w:hAnsi="Arial Narrow"/>
          <w:color w:val="auto"/>
          <w:sz w:val="22"/>
          <w:szCs w:val="22"/>
        </w:rPr>
        <w:t>residential or inpatient facilities with ten or more beds</w:t>
      </w:r>
      <w:r w:rsidR="0027271C" w:rsidRPr="003A2A2B">
        <w:rPr>
          <w:rFonts w:ascii="Arial Narrow" w:hAnsi="Arial Narrow"/>
          <w:color w:val="auto"/>
          <w:sz w:val="22"/>
          <w:szCs w:val="22"/>
        </w:rPr>
        <w:t>,</w:t>
      </w:r>
      <w:r w:rsidRPr="003A2A2B">
        <w:rPr>
          <w:rFonts w:ascii="Arial Narrow" w:hAnsi="Arial Narrow"/>
          <w:color w:val="auto"/>
          <w:sz w:val="22"/>
          <w:szCs w:val="22"/>
        </w:rPr>
        <w:t xml:space="preserve"> that are determined by the individualized care team to be necessary and appropriate and to meet a critical need of the child or the child’s family related to the child’s mental health needs; </w:t>
      </w:r>
    </w:p>
    <w:p w:rsidR="00CF6566" w:rsidRPr="003A2A2B" w:rsidRDefault="00FA0669" w:rsidP="00FA066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Customized suicide prevention and intervention approaches to promote protective factors and intervene as needed to address the needs of children who have been identified as at risk for suicide;</w:t>
      </w:r>
    </w:p>
    <w:p w:rsidR="00FA0669" w:rsidRPr="003A2A2B" w:rsidRDefault="00FA0669" w:rsidP="00FA066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Customized suicide prevention interventions which identify children and youth at risk for suicide, including those who need immediate crisis services because of an imminent threat or active suicidal behavior.</w:t>
      </w:r>
    </w:p>
    <w:p w:rsidR="005D0608" w:rsidRPr="003A2A2B" w:rsidRDefault="00FA0669" w:rsidP="00FA0669">
      <w:pPr>
        <w:pStyle w:val="Heading2"/>
        <w:keepNext w:val="0"/>
        <w:keepLines w:val="0"/>
        <w:tabs>
          <w:tab w:val="left" w:pos="900"/>
        </w:tabs>
        <w:spacing w:before="120" w:after="120" w:line="240" w:lineRule="auto"/>
        <w:ind w:left="450"/>
        <w:rPr>
          <w:rFonts w:ascii="Arial Narrow" w:hAnsi="Arial Narrow"/>
          <w:b/>
          <w:sz w:val="22"/>
          <w:szCs w:val="22"/>
        </w:rPr>
      </w:pPr>
      <w:r w:rsidRPr="003A2A2B">
        <w:rPr>
          <w:rFonts w:ascii="Arial Narrow" w:hAnsi="Arial Narrow"/>
          <w:b/>
          <w:color w:val="auto"/>
          <w:sz w:val="22"/>
          <w:szCs w:val="22"/>
        </w:rPr>
        <w:t>Recommended Non-</w:t>
      </w:r>
      <w:r w:rsidR="00BA3403" w:rsidRPr="003A2A2B">
        <w:rPr>
          <w:rFonts w:ascii="Arial Narrow" w:hAnsi="Arial Narrow"/>
          <w:b/>
          <w:color w:val="auto"/>
          <w:sz w:val="22"/>
          <w:szCs w:val="22"/>
        </w:rPr>
        <w:t>CMHSOC-</w:t>
      </w:r>
      <w:r w:rsidR="005D0608" w:rsidRPr="003A2A2B">
        <w:rPr>
          <w:rFonts w:ascii="Arial Narrow" w:hAnsi="Arial Narrow"/>
          <w:b/>
          <w:color w:val="auto"/>
          <w:sz w:val="22"/>
          <w:szCs w:val="22"/>
        </w:rPr>
        <w:t>funded Services</w:t>
      </w:r>
    </w:p>
    <w:p w:rsidR="00555084" w:rsidRPr="003A2A2B" w:rsidRDefault="00555084" w:rsidP="0032188D">
      <w:pPr>
        <w:pStyle w:val="Heading1"/>
        <w:keepNext w:val="0"/>
        <w:numPr>
          <w:ilvl w:val="0"/>
          <w:numId w:val="0"/>
        </w:numPr>
        <w:tabs>
          <w:tab w:val="left" w:pos="360"/>
        </w:tabs>
        <w:ind w:left="450"/>
        <w:rPr>
          <w:b w:val="0"/>
        </w:rPr>
      </w:pPr>
      <w:r w:rsidRPr="003A2A2B">
        <w:rPr>
          <w:b w:val="0"/>
        </w:rPr>
        <w:t xml:space="preserve">Funds from this program cannot be used to </w:t>
      </w:r>
      <w:r w:rsidR="0032188D" w:rsidRPr="003A2A2B">
        <w:rPr>
          <w:b w:val="0"/>
        </w:rPr>
        <w:t xml:space="preserve">provide </w:t>
      </w:r>
      <w:r w:rsidRPr="003A2A2B">
        <w:rPr>
          <w:b w:val="0"/>
        </w:rPr>
        <w:t>non-mental health services. Nonetheless, non-mental health services play an integral part in the individualized ser</w:t>
      </w:r>
      <w:r w:rsidR="00030665" w:rsidRPr="003A2A2B">
        <w:rPr>
          <w:b w:val="0"/>
        </w:rPr>
        <w:t>vice plan of each child. The M</w:t>
      </w:r>
      <w:r w:rsidR="0032188D" w:rsidRPr="003A2A2B">
        <w:rPr>
          <w:b w:val="0"/>
        </w:rPr>
        <w:t xml:space="preserve">anaging </w:t>
      </w:r>
      <w:r w:rsidR="00A50E14" w:rsidRPr="003A2A2B">
        <w:rPr>
          <w:b w:val="0"/>
        </w:rPr>
        <w:t>Entity</w:t>
      </w:r>
      <w:r w:rsidRPr="003A2A2B">
        <w:rPr>
          <w:b w:val="0"/>
        </w:rPr>
        <w:t xml:space="preserve"> must facilitate the provision of such services through coordination, memoranda of understanding </w:t>
      </w:r>
      <w:r w:rsidR="0032188D" w:rsidRPr="003A2A2B">
        <w:rPr>
          <w:b w:val="0"/>
        </w:rPr>
        <w:t xml:space="preserve">or </w:t>
      </w:r>
      <w:r w:rsidR="00A50E14" w:rsidRPr="003A2A2B">
        <w:rPr>
          <w:b w:val="0"/>
        </w:rPr>
        <w:t>other agreements</w:t>
      </w:r>
      <w:r w:rsidR="0032188D" w:rsidRPr="003A2A2B">
        <w:rPr>
          <w:b w:val="0"/>
        </w:rPr>
        <w:t xml:space="preserve"> </w:t>
      </w:r>
      <w:r w:rsidRPr="003A2A2B">
        <w:rPr>
          <w:b w:val="0"/>
        </w:rPr>
        <w:t>with relevant agencies and providers. These services include, but are not limited to:</w:t>
      </w:r>
    </w:p>
    <w:p w:rsidR="00FA0669" w:rsidRPr="003A2A2B" w:rsidRDefault="00FA0669" w:rsidP="0055508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Educational services, especially for children and youth who need to be placed in special education programs;</w:t>
      </w:r>
    </w:p>
    <w:p w:rsidR="00C5185A" w:rsidRPr="003A2A2B" w:rsidRDefault="00C5185A" w:rsidP="00C5185A">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Health services, especially for children and youth with co-occurring chronic illnesses;</w:t>
      </w:r>
    </w:p>
    <w:p w:rsidR="00C5185A" w:rsidRPr="003A2A2B" w:rsidRDefault="00C5185A" w:rsidP="00C5185A">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Substance abuse prevention and treatment services, especially for youth with co-occurring substance abuse problems;</w:t>
      </w:r>
    </w:p>
    <w:p w:rsidR="00C5185A" w:rsidRDefault="00C5185A" w:rsidP="00945B7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Protection and advocacy, including informational materials for children with a serious emotional disturbance and their families.</w:t>
      </w:r>
    </w:p>
    <w:p w:rsidR="00117391" w:rsidRPr="00117391" w:rsidRDefault="00117391" w:rsidP="00117391"/>
    <w:p w:rsidR="00C5185A" w:rsidRPr="003A2A2B" w:rsidRDefault="00BA7A5C" w:rsidP="00945B75">
      <w:pPr>
        <w:pStyle w:val="Heading1"/>
        <w:keepNext w:val="0"/>
        <w:tabs>
          <w:tab w:val="left" w:pos="360"/>
        </w:tabs>
      </w:pPr>
      <w:r w:rsidRPr="003A2A2B">
        <w:t xml:space="preserve">Managing Entity </w:t>
      </w:r>
      <w:r w:rsidR="00C5185A" w:rsidRPr="003A2A2B">
        <w:t>Responsibilities</w:t>
      </w:r>
    </w:p>
    <w:p w:rsidR="0027271C" w:rsidRPr="00873194" w:rsidRDefault="003450E2" w:rsidP="00873194">
      <w:pPr>
        <w:pStyle w:val="Heading2"/>
        <w:keepNext w:val="0"/>
        <w:keepLines w:val="0"/>
        <w:tabs>
          <w:tab w:val="left" w:pos="900"/>
        </w:tabs>
        <w:spacing w:before="120" w:after="120" w:line="240" w:lineRule="auto"/>
        <w:ind w:left="450"/>
        <w:rPr>
          <w:rFonts w:ascii="Arial Narrow" w:hAnsi="Arial Narrow"/>
          <w:color w:val="auto"/>
          <w:sz w:val="22"/>
          <w:szCs w:val="22"/>
        </w:rPr>
      </w:pPr>
      <w:r w:rsidRPr="00873194">
        <w:rPr>
          <w:rFonts w:ascii="Arial Narrow" w:hAnsi="Arial Narrow"/>
          <w:color w:val="auto"/>
          <w:sz w:val="22"/>
          <w:szCs w:val="22"/>
        </w:rPr>
        <w:t xml:space="preserve">All participating Managing Entities shall subcontract with CMHSOC-funded Network Services Providers for the provision of any service(s) identified as a gap in the community needs assessments to ensure access by persons served to the full range of CMHSOC-Funded Required Mental Health and Support Services as listed in Section III.A. </w:t>
      </w:r>
      <w:r w:rsidR="00F97A9B" w:rsidRPr="00873194">
        <w:rPr>
          <w:rFonts w:ascii="Arial Narrow" w:hAnsi="Arial Narrow"/>
          <w:color w:val="auto"/>
          <w:sz w:val="22"/>
          <w:szCs w:val="22"/>
        </w:rPr>
        <w:t>These subcontracts shall require the Network Service Providers to</w:t>
      </w:r>
      <w:r w:rsidR="0027271C" w:rsidRPr="00873194">
        <w:rPr>
          <w:rFonts w:ascii="Arial Narrow" w:hAnsi="Arial Narrow"/>
          <w:color w:val="auto"/>
          <w:sz w:val="22"/>
          <w:szCs w:val="22"/>
        </w:rPr>
        <w:t xml:space="preserve">: </w:t>
      </w:r>
    </w:p>
    <w:p w:rsidR="0027271C" w:rsidRPr="00873194" w:rsidRDefault="0027271C"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Adopt the Wraparound Approach, as described in Section VI</w:t>
      </w:r>
      <w:r w:rsidR="00F97A9B" w:rsidRPr="003A2A2B">
        <w:rPr>
          <w:rFonts w:ascii="Arial Narrow" w:hAnsi="Arial Narrow"/>
          <w:color w:val="auto"/>
          <w:sz w:val="22"/>
          <w:szCs w:val="22"/>
        </w:rPr>
        <w:t xml:space="preserve">, for case management and </w:t>
      </w:r>
      <w:r w:rsidR="003450E2" w:rsidRPr="003A2A2B">
        <w:rPr>
          <w:rFonts w:ascii="Arial Narrow" w:hAnsi="Arial Narrow"/>
          <w:color w:val="auto"/>
          <w:sz w:val="22"/>
          <w:szCs w:val="22"/>
        </w:rPr>
        <w:t>the coordination of care</w:t>
      </w:r>
      <w:r w:rsidRPr="003A2A2B">
        <w:rPr>
          <w:rFonts w:ascii="Arial Narrow" w:hAnsi="Arial Narrow"/>
          <w:color w:val="auto"/>
          <w:sz w:val="22"/>
          <w:szCs w:val="22"/>
        </w:rPr>
        <w:t xml:space="preserve">; </w:t>
      </w:r>
    </w:p>
    <w:p w:rsidR="0027271C" w:rsidRPr="00873194" w:rsidRDefault="0027271C"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Participate in training on the Wraparound Approach provided by trainers designated by the Department; </w:t>
      </w:r>
    </w:p>
    <w:p w:rsidR="00A71F45" w:rsidRPr="00873194" w:rsidRDefault="00A71F45"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Comply with standardized protocols for data collection</w:t>
      </w:r>
      <w:r w:rsidR="00822E4A" w:rsidRPr="003A2A2B">
        <w:rPr>
          <w:rFonts w:ascii="Arial Narrow" w:hAnsi="Arial Narrow"/>
          <w:color w:val="auto"/>
          <w:sz w:val="22"/>
          <w:szCs w:val="22"/>
        </w:rPr>
        <w:t>,</w:t>
      </w:r>
      <w:r w:rsidRPr="003A2A2B">
        <w:rPr>
          <w:rFonts w:ascii="Arial Narrow" w:hAnsi="Arial Narrow"/>
          <w:color w:val="auto"/>
          <w:sz w:val="22"/>
          <w:szCs w:val="22"/>
        </w:rPr>
        <w:t xml:space="preserve"> reporting and the sharing of relevant client data with CMHSOC project evaluators designated by the Department;</w:t>
      </w:r>
    </w:p>
    <w:p w:rsidR="00F97A9B" w:rsidRPr="00873194" w:rsidRDefault="00F97A9B"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Expand team-based discharge and transition planning processes for youth in residential care and youth transitioning to adult services;</w:t>
      </w:r>
    </w:p>
    <w:p w:rsidR="00F97A9B" w:rsidRPr="00873194" w:rsidRDefault="00F97A9B"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Identify parents eligible for the Quality of Care interviews conducted by the CMHSOC project evaluators designated by the Department</w:t>
      </w:r>
      <w:r w:rsidR="00D06B77" w:rsidRPr="003A2A2B">
        <w:rPr>
          <w:rFonts w:ascii="Arial Narrow" w:hAnsi="Arial Narrow"/>
          <w:color w:val="auto"/>
          <w:sz w:val="22"/>
          <w:szCs w:val="22"/>
        </w:rPr>
        <w:t>;</w:t>
      </w:r>
    </w:p>
    <w:p w:rsidR="00F97A9B" w:rsidRPr="00873194" w:rsidRDefault="00F97A9B"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Incorporate trauma screening, trauma treatment, and trauma informed </w:t>
      </w:r>
      <w:r w:rsidR="003450E2" w:rsidRPr="003A2A2B">
        <w:rPr>
          <w:rFonts w:ascii="Arial Narrow" w:hAnsi="Arial Narrow"/>
          <w:color w:val="auto"/>
          <w:sz w:val="22"/>
          <w:szCs w:val="22"/>
        </w:rPr>
        <w:t xml:space="preserve">approach to </w:t>
      </w:r>
      <w:r w:rsidRPr="003A2A2B">
        <w:rPr>
          <w:rFonts w:ascii="Arial Narrow" w:hAnsi="Arial Narrow"/>
          <w:color w:val="auto"/>
          <w:sz w:val="22"/>
          <w:szCs w:val="22"/>
        </w:rPr>
        <w:t>care into the service system</w:t>
      </w:r>
      <w:r w:rsidR="00D06B77" w:rsidRPr="003A2A2B">
        <w:rPr>
          <w:rFonts w:ascii="Arial Narrow" w:hAnsi="Arial Narrow"/>
          <w:color w:val="auto"/>
          <w:sz w:val="22"/>
          <w:szCs w:val="22"/>
        </w:rPr>
        <w:t>; and</w:t>
      </w:r>
    </w:p>
    <w:p w:rsidR="00B1284A" w:rsidRPr="00873194" w:rsidRDefault="00A71F45"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lastRenderedPageBreak/>
        <w:t xml:space="preserve">Ensure that no fewer than 90% of clients served through the CMHSOC Project per quarter are enrolled in the State and </w:t>
      </w:r>
      <w:r w:rsidR="00BE0057" w:rsidRPr="003A2A2B">
        <w:rPr>
          <w:rFonts w:ascii="Arial Narrow" w:hAnsi="Arial Narrow"/>
          <w:color w:val="auto"/>
          <w:sz w:val="22"/>
          <w:szCs w:val="22"/>
        </w:rPr>
        <w:t xml:space="preserve">if eligible, the </w:t>
      </w:r>
      <w:r w:rsidRPr="003A2A2B">
        <w:rPr>
          <w:rFonts w:ascii="Arial Narrow" w:hAnsi="Arial Narrow"/>
          <w:color w:val="auto"/>
          <w:sz w:val="22"/>
          <w:szCs w:val="22"/>
        </w:rPr>
        <w:t>National Evaluations</w:t>
      </w:r>
      <w:r w:rsidR="00B1284A" w:rsidRPr="003A2A2B">
        <w:rPr>
          <w:rFonts w:ascii="Arial Narrow" w:hAnsi="Arial Narrow"/>
          <w:color w:val="auto"/>
          <w:sz w:val="22"/>
          <w:szCs w:val="22"/>
        </w:rPr>
        <w:t xml:space="preserve">; </w:t>
      </w:r>
    </w:p>
    <w:p w:rsidR="00451D27" w:rsidRPr="00873194" w:rsidRDefault="00B1284A"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Collect </w:t>
      </w:r>
      <w:r w:rsidR="00C24208" w:rsidRPr="003A2A2B">
        <w:rPr>
          <w:rFonts w:ascii="Arial Narrow" w:hAnsi="Arial Narrow"/>
          <w:color w:val="auto"/>
          <w:sz w:val="22"/>
          <w:szCs w:val="22"/>
        </w:rPr>
        <w:t xml:space="preserve">National Outcome Measure (NOM) </w:t>
      </w:r>
      <w:r w:rsidRPr="003A2A2B">
        <w:rPr>
          <w:rFonts w:ascii="Arial Narrow" w:hAnsi="Arial Narrow"/>
          <w:color w:val="auto"/>
          <w:sz w:val="22"/>
          <w:szCs w:val="22"/>
        </w:rPr>
        <w:t xml:space="preserve">data using the </w:t>
      </w:r>
      <w:r w:rsidR="00392199" w:rsidRPr="003A2A2B">
        <w:rPr>
          <w:rFonts w:ascii="Arial Narrow" w:hAnsi="Arial Narrow"/>
          <w:color w:val="auto"/>
          <w:sz w:val="22"/>
          <w:szCs w:val="22"/>
        </w:rPr>
        <w:t>SERVICES TOOL</w:t>
      </w:r>
      <w:r w:rsidR="005551DB" w:rsidRPr="003A2A2B">
        <w:rPr>
          <w:rFonts w:ascii="Arial Narrow" w:hAnsi="Arial Narrow"/>
          <w:color w:val="auto"/>
          <w:sz w:val="22"/>
          <w:szCs w:val="22"/>
        </w:rPr>
        <w:t xml:space="preserve"> - </w:t>
      </w:r>
      <w:r w:rsidRPr="003A2A2B">
        <w:rPr>
          <w:rFonts w:ascii="Arial Narrow" w:hAnsi="Arial Narrow"/>
          <w:color w:val="auto"/>
          <w:sz w:val="22"/>
          <w:szCs w:val="22"/>
        </w:rPr>
        <w:t xml:space="preserve">Child or Adolescent Respondent Version and Caregiver Respondent Version </w:t>
      </w:r>
      <w:r w:rsidR="00451D27" w:rsidRPr="003A2A2B">
        <w:rPr>
          <w:rFonts w:ascii="Arial Narrow" w:hAnsi="Arial Narrow"/>
          <w:color w:val="auto"/>
          <w:sz w:val="22"/>
          <w:szCs w:val="22"/>
        </w:rPr>
        <w:t>and enter into SPARS in accordance with the requirements of the CMHS Child Client Level Services Measure Question-by-Question (QxQ) Guide</w:t>
      </w:r>
      <w:r w:rsidR="00392199" w:rsidRPr="003A2A2B">
        <w:rPr>
          <w:rFonts w:ascii="Arial Narrow" w:hAnsi="Arial Narrow"/>
          <w:color w:val="auto"/>
          <w:sz w:val="22"/>
          <w:szCs w:val="22"/>
        </w:rPr>
        <w:t>. Completion is done at</w:t>
      </w:r>
      <w:r w:rsidR="00451D27" w:rsidRPr="003A2A2B">
        <w:rPr>
          <w:rFonts w:ascii="Arial Narrow" w:hAnsi="Arial Narrow"/>
          <w:color w:val="auto"/>
          <w:sz w:val="22"/>
          <w:szCs w:val="22"/>
        </w:rPr>
        <w:t xml:space="preserve"> admission, every 6 months and at discharge. </w:t>
      </w:r>
    </w:p>
    <w:p w:rsidR="003A2A2B" w:rsidRPr="003A2A2B" w:rsidRDefault="00451D27" w:rsidP="0075030B">
      <w:pPr>
        <w:pStyle w:val="Heading4"/>
        <w:keepNext w:val="0"/>
        <w:keepLines w:val="0"/>
        <w:numPr>
          <w:ilvl w:val="3"/>
          <w:numId w:val="3"/>
        </w:numPr>
        <w:tabs>
          <w:tab w:val="left" w:pos="1620"/>
        </w:tabs>
        <w:spacing w:before="120" w:after="120" w:line="240" w:lineRule="auto"/>
        <w:rPr>
          <w:rStyle w:val="Hyperlink"/>
          <w:rFonts w:ascii="Arial Narrow" w:hAnsi="Arial Narrow"/>
          <w:i w:val="0"/>
          <w:color w:val="auto"/>
          <w:u w:val="none"/>
        </w:rPr>
      </w:pPr>
      <w:r w:rsidRPr="003A2A2B">
        <w:rPr>
          <w:rFonts w:ascii="Arial Narrow" w:hAnsi="Arial Narrow"/>
          <w:i w:val="0"/>
          <w:color w:val="auto"/>
        </w:rPr>
        <w:t xml:space="preserve">The </w:t>
      </w:r>
      <w:r w:rsidR="00392199" w:rsidRPr="003A2A2B">
        <w:rPr>
          <w:rFonts w:ascii="Arial Narrow" w:hAnsi="Arial Narrow"/>
          <w:i w:val="0"/>
          <w:color w:val="auto"/>
        </w:rPr>
        <w:t xml:space="preserve">SERVICES TOOL - Child or Adolescent Respondent Version and Caregiver Respondent Version </w:t>
      </w:r>
      <w:r w:rsidRPr="003A2A2B">
        <w:rPr>
          <w:rFonts w:ascii="Arial Narrow" w:hAnsi="Arial Narrow"/>
          <w:i w:val="0"/>
          <w:color w:val="auto"/>
        </w:rPr>
        <w:t xml:space="preserve">is </w:t>
      </w:r>
      <w:r w:rsidR="00B1284A" w:rsidRPr="003A2A2B">
        <w:rPr>
          <w:rFonts w:ascii="Arial Narrow" w:hAnsi="Arial Narrow"/>
          <w:i w:val="0"/>
          <w:color w:val="auto"/>
        </w:rPr>
        <w:t>available at:</w:t>
      </w:r>
      <w:r w:rsidR="005551DB" w:rsidRPr="003A2A2B">
        <w:rPr>
          <w:rFonts w:ascii="Arial Narrow" w:hAnsi="Arial Narrow"/>
          <w:i w:val="0"/>
          <w:color w:val="auto"/>
        </w:rPr>
        <w:t xml:space="preserve">  </w:t>
      </w:r>
      <w:hyperlink r:id="rId9" w:history="1">
        <w:r w:rsidR="00392199" w:rsidRPr="003A2A2B">
          <w:rPr>
            <w:rStyle w:val="Hyperlink"/>
            <w:rFonts w:ascii="Arial Narrow" w:eastAsiaTheme="minorHAnsi" w:hAnsi="Arial Narrow" w:cstheme="minorBidi"/>
            <w:i w:val="0"/>
            <w:iCs w:val="0"/>
          </w:rPr>
          <w:t>https://spars.samhsa.gov/sites/default/files/Ref-376_CMHS_Client-Level%20Services%20Tool_Children-Adolescents-Caregivers.pdf</w:t>
        </w:r>
      </w:hyperlink>
    </w:p>
    <w:p w:rsidR="00451D27" w:rsidRPr="003A2A2B" w:rsidRDefault="00451D27" w:rsidP="0075030B">
      <w:pPr>
        <w:pStyle w:val="Heading4"/>
        <w:keepNext w:val="0"/>
        <w:keepLines w:val="0"/>
        <w:numPr>
          <w:ilvl w:val="3"/>
          <w:numId w:val="3"/>
        </w:numPr>
        <w:tabs>
          <w:tab w:val="left" w:pos="1620"/>
        </w:tabs>
        <w:spacing w:before="120" w:after="120" w:line="240" w:lineRule="auto"/>
        <w:rPr>
          <w:rFonts w:ascii="Arial Narrow" w:hAnsi="Arial Narrow"/>
          <w:i w:val="0"/>
          <w:color w:val="auto"/>
        </w:rPr>
      </w:pPr>
      <w:r w:rsidRPr="003A2A2B">
        <w:rPr>
          <w:rFonts w:ascii="Arial Narrow" w:hAnsi="Arial Narrow"/>
          <w:i w:val="0"/>
          <w:color w:val="auto"/>
        </w:rPr>
        <w:t xml:space="preserve">The </w:t>
      </w:r>
      <w:r w:rsidR="00392199" w:rsidRPr="003A2A2B">
        <w:rPr>
          <w:rFonts w:ascii="Arial Narrow" w:hAnsi="Arial Narrow"/>
          <w:i w:val="0"/>
          <w:color w:val="auto"/>
        </w:rPr>
        <w:t>CMHS Child Client Level Services Measure Question-by-Question (QxQ) Guide</w:t>
      </w:r>
      <w:r w:rsidR="00392199" w:rsidRPr="003A2A2B" w:rsidDel="00392199">
        <w:rPr>
          <w:rFonts w:ascii="Arial Narrow" w:hAnsi="Arial Narrow"/>
          <w:i w:val="0"/>
          <w:color w:val="auto"/>
        </w:rPr>
        <w:t xml:space="preserve"> </w:t>
      </w:r>
      <w:r w:rsidRPr="003A2A2B">
        <w:rPr>
          <w:rFonts w:ascii="Arial Narrow" w:hAnsi="Arial Narrow"/>
          <w:i w:val="0"/>
          <w:color w:val="auto"/>
        </w:rPr>
        <w:t>is available at</w:t>
      </w:r>
      <w:r w:rsidRPr="003A2A2B">
        <w:rPr>
          <w:rFonts w:ascii="Arial Narrow" w:hAnsi="Arial Narrow"/>
        </w:rPr>
        <w:t xml:space="preserve">: </w:t>
      </w:r>
      <w:hyperlink r:id="rId10" w:history="1">
        <w:r w:rsidR="00392199" w:rsidRPr="003A2A2B">
          <w:rPr>
            <w:rStyle w:val="Hyperlink"/>
            <w:rFonts w:ascii="Arial Narrow" w:hAnsi="Arial Narrow"/>
          </w:rPr>
          <w:t>https://spars.samhsa.gov/content/data-collection-tool-resources</w:t>
        </w:r>
      </w:hyperlink>
    </w:p>
    <w:p w:rsidR="004772ED" w:rsidRPr="00873194" w:rsidRDefault="00E32CEF"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 </w:t>
      </w:r>
      <w:r w:rsidR="004772ED" w:rsidRPr="003A2A2B">
        <w:rPr>
          <w:rFonts w:ascii="Arial Narrow" w:hAnsi="Arial Narrow"/>
          <w:color w:val="auto"/>
          <w:sz w:val="22"/>
          <w:szCs w:val="22"/>
        </w:rPr>
        <w:t xml:space="preserve">Collect data necessary for the Children’s Mental Health National Evaluation of Child and Family Outcomes and enter data in the portal </w:t>
      </w:r>
      <w:r w:rsidR="003228C1" w:rsidRPr="003A2A2B">
        <w:rPr>
          <w:rFonts w:ascii="Arial Narrow" w:hAnsi="Arial Narrow"/>
          <w:color w:val="auto"/>
          <w:sz w:val="22"/>
          <w:szCs w:val="22"/>
        </w:rPr>
        <w:t>maintained</w:t>
      </w:r>
      <w:r w:rsidR="004772ED" w:rsidRPr="003A2A2B">
        <w:rPr>
          <w:rFonts w:ascii="Arial Narrow" w:hAnsi="Arial Narrow"/>
          <w:color w:val="auto"/>
          <w:sz w:val="22"/>
          <w:szCs w:val="22"/>
        </w:rPr>
        <w:t xml:space="preserve"> by Westat at admission, six months, and 12 months or discharge;</w:t>
      </w:r>
    </w:p>
    <w:p w:rsidR="00F97A9B" w:rsidRPr="00873194" w:rsidRDefault="00E32CEF" w:rsidP="00873194">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 </w:t>
      </w:r>
      <w:r w:rsidR="00F97A9B" w:rsidRPr="003A2A2B">
        <w:rPr>
          <w:rFonts w:ascii="Arial Narrow" w:hAnsi="Arial Narrow"/>
          <w:color w:val="auto"/>
          <w:sz w:val="22"/>
          <w:szCs w:val="22"/>
        </w:rPr>
        <w:t xml:space="preserve">These subcontracts may include funds for Incidental Expenses, pursuant to Rule 65E-14, F.A.C., and subject to Managing Entity approval procedures, excluding services specifically referenced as not grant fundable in Section III. C. The cumulative total amount of service dollars expected to be used for Incidental Expenses must be approved by the Department prior to any expenditures.  </w:t>
      </w:r>
    </w:p>
    <w:p w:rsidR="0027271C" w:rsidRPr="003A2A2B" w:rsidRDefault="00A71F45" w:rsidP="00873194">
      <w:pPr>
        <w:pStyle w:val="Heading2"/>
        <w:keepNext w:val="0"/>
        <w:keepLines w:val="0"/>
        <w:tabs>
          <w:tab w:val="left" w:pos="900"/>
        </w:tabs>
        <w:spacing w:before="120" w:after="120" w:line="240" w:lineRule="auto"/>
        <w:ind w:left="450"/>
        <w:rPr>
          <w:rFonts w:ascii="Arial Narrow" w:hAnsi="Arial Narrow"/>
          <w:color w:val="auto"/>
          <w:sz w:val="22"/>
          <w:szCs w:val="22"/>
        </w:rPr>
      </w:pPr>
      <w:r w:rsidRPr="003A2A2B">
        <w:rPr>
          <w:rFonts w:ascii="Arial Narrow" w:hAnsi="Arial Narrow"/>
          <w:color w:val="auto"/>
          <w:sz w:val="22"/>
          <w:szCs w:val="22"/>
        </w:rPr>
        <w:t xml:space="preserve">In coordination </w:t>
      </w:r>
      <w:r w:rsidR="0027271C" w:rsidRPr="003A2A2B">
        <w:rPr>
          <w:rFonts w:ascii="Arial Narrow" w:hAnsi="Arial Narrow"/>
          <w:color w:val="auto"/>
          <w:sz w:val="22"/>
          <w:szCs w:val="22"/>
        </w:rPr>
        <w:t>with the System of Care Coordinator</w:t>
      </w:r>
      <w:r w:rsidRPr="003A2A2B">
        <w:rPr>
          <w:rFonts w:ascii="Arial Narrow" w:hAnsi="Arial Narrow"/>
          <w:color w:val="auto"/>
          <w:sz w:val="22"/>
          <w:szCs w:val="22"/>
        </w:rPr>
        <w:t>, the Managing Entity shall:</w:t>
      </w:r>
      <w:r w:rsidR="0027271C" w:rsidRPr="003A2A2B">
        <w:rPr>
          <w:rFonts w:ascii="Arial Narrow" w:hAnsi="Arial Narrow"/>
          <w:color w:val="auto"/>
          <w:sz w:val="22"/>
          <w:szCs w:val="22"/>
        </w:rPr>
        <w:t xml:space="preserve"> </w:t>
      </w:r>
    </w:p>
    <w:p w:rsidR="0027271C" w:rsidRPr="003A2A2B" w:rsidRDefault="0027271C" w:rsidP="00945B7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Engage community partners to create local CMHSOC planning teams or coordinating councils tasked with infrastructure development and financing planning activities;</w:t>
      </w:r>
    </w:p>
    <w:p w:rsidR="0027271C" w:rsidRPr="003A2A2B" w:rsidRDefault="0027271C" w:rsidP="00945B7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 xml:space="preserve">Create </w:t>
      </w:r>
      <w:r w:rsidR="00A71F45" w:rsidRPr="003A2A2B">
        <w:rPr>
          <w:rFonts w:ascii="Arial Narrow" w:hAnsi="Arial Narrow"/>
          <w:color w:val="auto"/>
          <w:sz w:val="22"/>
          <w:szCs w:val="22"/>
        </w:rPr>
        <w:t xml:space="preserve">or support existing </w:t>
      </w:r>
      <w:r w:rsidRPr="003A2A2B">
        <w:rPr>
          <w:rFonts w:ascii="Arial Narrow" w:hAnsi="Arial Narrow"/>
          <w:color w:val="auto"/>
          <w:sz w:val="22"/>
          <w:szCs w:val="22"/>
        </w:rPr>
        <w:t>regional forums to discuss leveraging resources at the community level;</w:t>
      </w:r>
    </w:p>
    <w:p w:rsidR="00CD176F" w:rsidRPr="003A2A2B" w:rsidRDefault="00211E68" w:rsidP="00945B7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I</w:t>
      </w:r>
      <w:r w:rsidR="0064018E" w:rsidRPr="003A2A2B">
        <w:rPr>
          <w:rFonts w:ascii="Arial Narrow" w:hAnsi="Arial Narrow"/>
          <w:color w:val="auto"/>
          <w:sz w:val="22"/>
          <w:szCs w:val="22"/>
        </w:rPr>
        <w:t>mplement a</w:t>
      </w:r>
      <w:r w:rsidR="00B311D2" w:rsidRPr="003A2A2B">
        <w:rPr>
          <w:rFonts w:ascii="Arial Narrow" w:hAnsi="Arial Narrow"/>
          <w:color w:val="auto"/>
          <w:sz w:val="22"/>
          <w:szCs w:val="22"/>
        </w:rPr>
        <w:t xml:space="preserve">n expansion </w:t>
      </w:r>
      <w:r w:rsidR="0064018E" w:rsidRPr="003A2A2B">
        <w:rPr>
          <w:rFonts w:ascii="Arial Narrow" w:hAnsi="Arial Narrow"/>
          <w:color w:val="auto"/>
          <w:sz w:val="22"/>
          <w:szCs w:val="22"/>
        </w:rPr>
        <w:t xml:space="preserve">plan </w:t>
      </w:r>
      <w:r w:rsidR="00B311D2" w:rsidRPr="003A2A2B">
        <w:rPr>
          <w:rFonts w:ascii="Arial Narrow" w:hAnsi="Arial Narrow"/>
          <w:color w:val="auto"/>
          <w:sz w:val="22"/>
          <w:szCs w:val="22"/>
        </w:rPr>
        <w:t xml:space="preserve">for </w:t>
      </w:r>
      <w:r w:rsidR="00271A12" w:rsidRPr="003A2A2B">
        <w:rPr>
          <w:rFonts w:ascii="Arial Narrow" w:hAnsi="Arial Narrow"/>
          <w:color w:val="auto"/>
          <w:sz w:val="22"/>
          <w:szCs w:val="22"/>
        </w:rPr>
        <w:t xml:space="preserve">Network Service Provider </w:t>
      </w:r>
      <w:r w:rsidR="00B311D2" w:rsidRPr="003A2A2B">
        <w:rPr>
          <w:rFonts w:ascii="Arial Narrow" w:hAnsi="Arial Narrow"/>
          <w:color w:val="auto"/>
          <w:sz w:val="22"/>
          <w:szCs w:val="22"/>
        </w:rPr>
        <w:t xml:space="preserve">adoption of </w:t>
      </w:r>
      <w:r w:rsidR="0064018E" w:rsidRPr="003A2A2B">
        <w:rPr>
          <w:rFonts w:ascii="Arial Narrow" w:hAnsi="Arial Narrow"/>
          <w:color w:val="auto"/>
          <w:sz w:val="22"/>
          <w:szCs w:val="22"/>
        </w:rPr>
        <w:t>cultural</w:t>
      </w:r>
      <w:r w:rsidR="00B311D2" w:rsidRPr="003A2A2B">
        <w:rPr>
          <w:rFonts w:ascii="Arial Narrow" w:hAnsi="Arial Narrow"/>
          <w:color w:val="auto"/>
          <w:sz w:val="22"/>
          <w:szCs w:val="22"/>
        </w:rPr>
        <w:t>ly</w:t>
      </w:r>
      <w:r w:rsidR="0064018E" w:rsidRPr="003A2A2B">
        <w:rPr>
          <w:rFonts w:ascii="Arial Narrow" w:hAnsi="Arial Narrow"/>
          <w:color w:val="auto"/>
          <w:sz w:val="22"/>
          <w:szCs w:val="22"/>
        </w:rPr>
        <w:t xml:space="preserve"> and linguistic</w:t>
      </w:r>
      <w:r w:rsidR="00B311D2" w:rsidRPr="003A2A2B">
        <w:rPr>
          <w:rFonts w:ascii="Arial Narrow" w:hAnsi="Arial Narrow"/>
          <w:color w:val="auto"/>
          <w:sz w:val="22"/>
          <w:szCs w:val="22"/>
        </w:rPr>
        <w:t>ally relevant</w:t>
      </w:r>
      <w:r w:rsidR="0064018E" w:rsidRPr="003A2A2B">
        <w:rPr>
          <w:rFonts w:ascii="Arial Narrow" w:hAnsi="Arial Narrow"/>
          <w:color w:val="auto"/>
          <w:sz w:val="22"/>
          <w:szCs w:val="22"/>
        </w:rPr>
        <w:t xml:space="preserve"> principles and practices u</w:t>
      </w:r>
      <w:r w:rsidR="00B311D2" w:rsidRPr="003A2A2B">
        <w:rPr>
          <w:rFonts w:ascii="Arial Narrow" w:hAnsi="Arial Narrow"/>
          <w:color w:val="auto"/>
          <w:sz w:val="22"/>
          <w:szCs w:val="22"/>
        </w:rPr>
        <w:t>sing</w:t>
      </w:r>
      <w:r w:rsidR="0064018E" w:rsidRPr="003A2A2B">
        <w:rPr>
          <w:rFonts w:ascii="Arial Narrow" w:hAnsi="Arial Narrow"/>
          <w:color w:val="auto"/>
          <w:sz w:val="22"/>
          <w:szCs w:val="22"/>
        </w:rPr>
        <w:t xml:space="preserve"> the National Standards for Culturally and Linguistically Appropriate Services (</w:t>
      </w:r>
      <w:r w:rsidR="00517953" w:rsidRPr="003A2A2B">
        <w:rPr>
          <w:rFonts w:ascii="Arial Narrow" w:hAnsi="Arial Narrow"/>
          <w:color w:val="auto"/>
          <w:sz w:val="22"/>
          <w:szCs w:val="22"/>
        </w:rPr>
        <w:t xml:space="preserve">CLAS) in Health and Health Care available at: </w:t>
      </w:r>
      <w:hyperlink r:id="rId11" w:history="1">
        <w:r w:rsidR="00517953" w:rsidRPr="003A2A2B">
          <w:rPr>
            <w:rFonts w:ascii="Arial Narrow" w:hAnsi="Arial Narrow"/>
            <w:color w:val="auto"/>
            <w:sz w:val="22"/>
            <w:szCs w:val="22"/>
          </w:rPr>
          <w:t>https://www.thinkculturalhealth.hhs.gov/assets/pdfs/EnhancedNationalCLASStandards.pdf/</w:t>
        </w:r>
      </w:hyperlink>
      <w:r w:rsidR="00775C41" w:rsidRPr="003A2A2B">
        <w:rPr>
          <w:rFonts w:ascii="Arial Narrow" w:hAnsi="Arial Narrow"/>
          <w:color w:val="auto"/>
          <w:sz w:val="22"/>
          <w:szCs w:val="22"/>
        </w:rPr>
        <w:t>;</w:t>
      </w:r>
      <w:r w:rsidR="0064018E" w:rsidRPr="003A2A2B">
        <w:rPr>
          <w:rFonts w:ascii="Arial Narrow" w:hAnsi="Arial Narrow"/>
          <w:color w:val="auto"/>
          <w:sz w:val="22"/>
          <w:szCs w:val="22"/>
        </w:rPr>
        <w:t xml:space="preserve"> </w:t>
      </w:r>
    </w:p>
    <w:p w:rsidR="0018479D" w:rsidRPr="003A2A2B" w:rsidRDefault="0018479D" w:rsidP="00BD72D3">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I</w:t>
      </w:r>
      <w:r w:rsidR="0028499A" w:rsidRPr="003A2A2B">
        <w:rPr>
          <w:rFonts w:ascii="Arial Narrow" w:hAnsi="Arial Narrow"/>
          <w:color w:val="auto"/>
          <w:sz w:val="22"/>
          <w:szCs w:val="22"/>
        </w:rPr>
        <w:t>ncrease</w:t>
      </w:r>
      <w:r w:rsidRPr="003A2A2B">
        <w:rPr>
          <w:rFonts w:ascii="Arial Narrow" w:hAnsi="Arial Narrow"/>
          <w:color w:val="auto"/>
          <w:sz w:val="22"/>
          <w:szCs w:val="22"/>
        </w:rPr>
        <w:t xml:space="preserve"> stakeholder awareness of existing funding sources so that behavioral health staff and families have a comprehensive list of available resources; and</w:t>
      </w:r>
    </w:p>
    <w:p w:rsidR="00BF5D74" w:rsidRPr="003A2A2B" w:rsidRDefault="00BF5D74" w:rsidP="00BD72D3">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Involve youth and families in CMHSOC quality assurance, quality improvement, monitoring, and evaluation activities;</w:t>
      </w:r>
    </w:p>
    <w:p w:rsidR="00E23AD3" w:rsidRPr="003A2A2B" w:rsidRDefault="00E23AD3" w:rsidP="00BD72D3">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Track local CMHSOC performance on the following required process measures</w:t>
      </w:r>
      <w:r w:rsidR="00BD72D3" w:rsidRPr="003A2A2B">
        <w:rPr>
          <w:rFonts w:ascii="Arial Narrow" w:hAnsi="Arial Narrow"/>
          <w:color w:val="auto"/>
          <w:sz w:val="22"/>
          <w:szCs w:val="22"/>
        </w:rPr>
        <w:t xml:space="preserve"> and</w:t>
      </w:r>
      <w:r w:rsidR="00BB6E89" w:rsidRPr="003A2A2B">
        <w:rPr>
          <w:rFonts w:ascii="Arial Narrow" w:hAnsi="Arial Narrow"/>
          <w:color w:val="auto"/>
          <w:sz w:val="22"/>
          <w:szCs w:val="22"/>
        </w:rPr>
        <w:t xml:space="preserve"> submit to </w:t>
      </w:r>
      <w:r w:rsidR="00A222B7" w:rsidRPr="003A2A2B">
        <w:rPr>
          <w:rFonts w:ascii="Arial Narrow" w:hAnsi="Arial Narrow"/>
          <w:color w:val="auto"/>
          <w:sz w:val="22"/>
          <w:szCs w:val="22"/>
        </w:rPr>
        <w:t>the Department’s</w:t>
      </w:r>
      <w:r w:rsidR="001B262E" w:rsidRPr="003A2A2B">
        <w:rPr>
          <w:rFonts w:ascii="Arial Narrow" w:hAnsi="Arial Narrow"/>
          <w:color w:val="auto"/>
          <w:sz w:val="22"/>
          <w:szCs w:val="22"/>
        </w:rPr>
        <w:t xml:space="preserve"> designated evaluators in accordance with the established template and process</w:t>
      </w:r>
      <w:r w:rsidR="002533F1" w:rsidRPr="003A2A2B">
        <w:rPr>
          <w:rFonts w:ascii="Arial Narrow" w:hAnsi="Arial Narrow"/>
          <w:color w:val="auto"/>
          <w:sz w:val="22"/>
          <w:szCs w:val="22"/>
        </w:rPr>
        <w:t xml:space="preserve">. The Department’s designated evaluators will in turn use these data to complete and submit the </w:t>
      </w:r>
      <w:r w:rsidR="002533F1" w:rsidRPr="003A2A2B">
        <w:rPr>
          <w:rFonts w:ascii="Arial Narrow" w:hAnsi="Arial Narrow"/>
          <w:i/>
          <w:color w:val="auto"/>
          <w:sz w:val="22"/>
          <w:szCs w:val="22"/>
        </w:rPr>
        <w:t>Infrastructure, Development Prevention and Mental Health Promotion (IPP Survey)</w:t>
      </w:r>
      <w:r w:rsidR="002533F1" w:rsidRPr="003A2A2B">
        <w:rPr>
          <w:rFonts w:ascii="Arial Narrow" w:hAnsi="Arial Narrow"/>
          <w:color w:val="auto"/>
          <w:sz w:val="22"/>
          <w:szCs w:val="22"/>
        </w:rPr>
        <w:t xml:space="preserve"> quarterly to SAMHSA. </w:t>
      </w:r>
    </w:p>
    <w:p w:rsidR="00E23AD3" w:rsidRPr="003A2A2B" w:rsidRDefault="00E23AD3" w:rsidP="0075030B">
      <w:pPr>
        <w:pStyle w:val="Heading4"/>
        <w:keepNext w:val="0"/>
        <w:keepLines w:val="0"/>
        <w:numPr>
          <w:ilvl w:val="3"/>
          <w:numId w:val="5"/>
        </w:numPr>
        <w:tabs>
          <w:tab w:val="left" w:pos="1620"/>
        </w:tabs>
        <w:spacing w:before="120" w:after="120" w:line="240" w:lineRule="auto"/>
        <w:rPr>
          <w:rFonts w:ascii="Arial Narrow" w:hAnsi="Arial Narrow"/>
          <w:i w:val="0"/>
          <w:color w:val="auto"/>
        </w:rPr>
      </w:pPr>
      <w:r w:rsidRPr="003A2A2B">
        <w:rPr>
          <w:rFonts w:ascii="Arial Narrow" w:hAnsi="Arial Narrow"/>
          <w:i w:val="0"/>
          <w:color w:val="auto"/>
        </w:rPr>
        <w:t xml:space="preserve">The number of people in the mental health and related workforce trained in mental health-related practices activities that are consistent with the goals of the grant; </w:t>
      </w:r>
    </w:p>
    <w:p w:rsidR="00E23AD3" w:rsidRPr="003A2A2B" w:rsidRDefault="00E23AD3" w:rsidP="0075030B">
      <w:pPr>
        <w:pStyle w:val="Heading4"/>
        <w:keepNext w:val="0"/>
        <w:keepLines w:val="0"/>
        <w:numPr>
          <w:ilvl w:val="3"/>
          <w:numId w:val="5"/>
        </w:numPr>
        <w:tabs>
          <w:tab w:val="left" w:pos="1620"/>
        </w:tabs>
        <w:spacing w:before="120" w:after="120" w:line="240" w:lineRule="auto"/>
        <w:rPr>
          <w:rFonts w:ascii="Arial Narrow" w:hAnsi="Arial Narrow"/>
          <w:i w:val="0"/>
          <w:color w:val="auto"/>
        </w:rPr>
      </w:pPr>
      <w:r w:rsidRPr="003A2A2B">
        <w:rPr>
          <w:rFonts w:ascii="Arial Narrow" w:hAnsi="Arial Narrow"/>
          <w:i w:val="0"/>
          <w:color w:val="auto"/>
        </w:rPr>
        <w:t xml:space="preserve">The number of youth, family members, and peers </w:t>
      </w:r>
      <w:r w:rsidR="007D59D9" w:rsidRPr="003A2A2B">
        <w:rPr>
          <w:rFonts w:ascii="Arial Narrow" w:hAnsi="Arial Narrow"/>
          <w:i w:val="0"/>
          <w:color w:val="auto"/>
        </w:rPr>
        <w:t xml:space="preserve">who </w:t>
      </w:r>
      <w:r w:rsidRPr="003A2A2B">
        <w:rPr>
          <w:rFonts w:ascii="Arial Narrow" w:hAnsi="Arial Narrow"/>
          <w:i w:val="0"/>
          <w:color w:val="auto"/>
        </w:rPr>
        <w:t>provid</w:t>
      </w:r>
      <w:r w:rsidR="007D59D9" w:rsidRPr="003A2A2B">
        <w:rPr>
          <w:rFonts w:ascii="Arial Narrow" w:hAnsi="Arial Narrow"/>
          <w:i w:val="0"/>
          <w:color w:val="auto"/>
        </w:rPr>
        <w:t>e</w:t>
      </w:r>
      <w:r w:rsidRPr="003A2A2B">
        <w:rPr>
          <w:rFonts w:ascii="Arial Narrow" w:hAnsi="Arial Narrow"/>
          <w:i w:val="0"/>
          <w:color w:val="auto"/>
        </w:rPr>
        <w:t xml:space="preserve"> mental health </w:t>
      </w:r>
      <w:r w:rsidR="007D59D9" w:rsidRPr="003A2A2B">
        <w:rPr>
          <w:rFonts w:ascii="Arial Narrow" w:hAnsi="Arial Narrow"/>
          <w:i w:val="0"/>
          <w:color w:val="auto"/>
        </w:rPr>
        <w:t xml:space="preserve">related </w:t>
      </w:r>
      <w:r w:rsidRPr="003A2A2B">
        <w:rPr>
          <w:rFonts w:ascii="Arial Narrow" w:hAnsi="Arial Narrow"/>
          <w:i w:val="0"/>
          <w:color w:val="auto"/>
        </w:rPr>
        <w:t>services</w:t>
      </w:r>
      <w:r w:rsidR="007D59D9" w:rsidRPr="003A2A2B">
        <w:rPr>
          <w:rFonts w:ascii="Arial Narrow" w:hAnsi="Arial Narrow"/>
          <w:i w:val="0"/>
          <w:color w:val="auto"/>
        </w:rPr>
        <w:t xml:space="preserve"> as a result of the project</w:t>
      </w:r>
      <w:r w:rsidRPr="003A2A2B">
        <w:rPr>
          <w:rFonts w:ascii="Arial Narrow" w:hAnsi="Arial Narrow"/>
          <w:i w:val="0"/>
          <w:color w:val="auto"/>
        </w:rPr>
        <w:t xml:space="preserve">; </w:t>
      </w:r>
      <w:r w:rsidR="004E6C20" w:rsidRPr="003A2A2B">
        <w:rPr>
          <w:rFonts w:ascii="Arial Narrow" w:hAnsi="Arial Narrow"/>
          <w:i w:val="0"/>
          <w:color w:val="auto"/>
        </w:rPr>
        <w:t>and</w:t>
      </w:r>
    </w:p>
    <w:p w:rsidR="00E23AD3" w:rsidRPr="003A2A2B" w:rsidRDefault="00E23AD3" w:rsidP="0075030B">
      <w:pPr>
        <w:pStyle w:val="Heading4"/>
        <w:keepNext w:val="0"/>
        <w:keepLines w:val="0"/>
        <w:numPr>
          <w:ilvl w:val="3"/>
          <w:numId w:val="5"/>
        </w:numPr>
        <w:tabs>
          <w:tab w:val="left" w:pos="1620"/>
        </w:tabs>
        <w:spacing w:before="120" w:after="120" w:line="240" w:lineRule="auto"/>
        <w:rPr>
          <w:rFonts w:ascii="Arial Narrow" w:hAnsi="Arial Narrow"/>
          <w:i w:val="0"/>
          <w:color w:val="auto"/>
        </w:rPr>
      </w:pPr>
      <w:r w:rsidRPr="003A2A2B">
        <w:rPr>
          <w:rFonts w:ascii="Arial Narrow" w:hAnsi="Arial Narrow"/>
          <w:i w:val="0"/>
          <w:color w:val="auto"/>
        </w:rPr>
        <w:t>The number of agencies</w:t>
      </w:r>
      <w:r w:rsidR="00BA7A5C" w:rsidRPr="003A2A2B">
        <w:rPr>
          <w:rFonts w:ascii="Arial Narrow" w:hAnsi="Arial Narrow"/>
          <w:i w:val="0"/>
          <w:color w:val="auto"/>
        </w:rPr>
        <w:t xml:space="preserve"> and </w:t>
      </w:r>
      <w:r w:rsidRPr="003A2A2B">
        <w:rPr>
          <w:rFonts w:ascii="Arial Narrow" w:hAnsi="Arial Narrow"/>
          <w:i w:val="0"/>
          <w:color w:val="auto"/>
        </w:rPr>
        <w:t>organizations that entered into formal written inter-</w:t>
      </w:r>
      <w:r w:rsidR="00816D1E" w:rsidRPr="003A2A2B">
        <w:rPr>
          <w:rFonts w:ascii="Arial Narrow" w:hAnsi="Arial Narrow"/>
          <w:i w:val="0"/>
          <w:color w:val="auto"/>
        </w:rPr>
        <w:t xml:space="preserve">agency </w:t>
      </w:r>
      <w:r w:rsidRPr="003A2A2B">
        <w:rPr>
          <w:rFonts w:ascii="Arial Narrow" w:hAnsi="Arial Narrow"/>
          <w:i w:val="0"/>
          <w:color w:val="auto"/>
        </w:rPr>
        <w:t>agreements to improve practices</w:t>
      </w:r>
      <w:r w:rsidR="00271A12" w:rsidRPr="003A2A2B">
        <w:rPr>
          <w:rFonts w:ascii="Arial Narrow" w:hAnsi="Arial Narrow"/>
          <w:i w:val="0"/>
          <w:color w:val="auto"/>
        </w:rPr>
        <w:t xml:space="preserve"> and </w:t>
      </w:r>
      <w:r w:rsidRPr="003A2A2B">
        <w:rPr>
          <w:rFonts w:ascii="Arial Narrow" w:hAnsi="Arial Narrow"/>
          <w:i w:val="0"/>
          <w:color w:val="auto"/>
        </w:rPr>
        <w:t xml:space="preserve">activities as a result of the grant. </w:t>
      </w:r>
    </w:p>
    <w:p w:rsidR="0008284E" w:rsidRPr="003A2A2B" w:rsidRDefault="00A71F45" w:rsidP="00945B75">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S</w:t>
      </w:r>
      <w:r w:rsidR="00A02497" w:rsidRPr="003A2A2B">
        <w:rPr>
          <w:rFonts w:ascii="Arial Narrow" w:hAnsi="Arial Narrow"/>
          <w:color w:val="auto"/>
          <w:sz w:val="22"/>
          <w:szCs w:val="22"/>
        </w:rPr>
        <w:t xml:space="preserve">ubmit </w:t>
      </w:r>
      <w:r w:rsidR="0008284E" w:rsidRPr="003A2A2B">
        <w:rPr>
          <w:rFonts w:ascii="Arial Narrow" w:hAnsi="Arial Narrow"/>
          <w:color w:val="auto"/>
          <w:sz w:val="22"/>
          <w:szCs w:val="22"/>
        </w:rPr>
        <w:t xml:space="preserve">quarterly </w:t>
      </w:r>
      <w:r w:rsidR="00A02497" w:rsidRPr="003A2A2B">
        <w:rPr>
          <w:rFonts w:ascii="Arial Narrow" w:hAnsi="Arial Narrow"/>
          <w:color w:val="auto"/>
          <w:sz w:val="22"/>
          <w:szCs w:val="22"/>
        </w:rPr>
        <w:t>reports to the Department and the Dep</w:t>
      </w:r>
      <w:r w:rsidR="0008284E" w:rsidRPr="003A2A2B">
        <w:rPr>
          <w:rFonts w:ascii="Arial Narrow" w:hAnsi="Arial Narrow"/>
          <w:color w:val="auto"/>
          <w:sz w:val="22"/>
          <w:szCs w:val="22"/>
        </w:rPr>
        <w:t>a</w:t>
      </w:r>
      <w:r w:rsidR="00A02497" w:rsidRPr="003A2A2B">
        <w:rPr>
          <w:rFonts w:ascii="Arial Narrow" w:hAnsi="Arial Narrow"/>
          <w:color w:val="auto"/>
          <w:sz w:val="22"/>
          <w:szCs w:val="22"/>
        </w:rPr>
        <w:t xml:space="preserve">rtment’s designated evaluators </w:t>
      </w:r>
      <w:r w:rsidR="0008284E" w:rsidRPr="003A2A2B">
        <w:rPr>
          <w:rFonts w:ascii="Arial Narrow" w:hAnsi="Arial Narrow"/>
          <w:color w:val="auto"/>
          <w:sz w:val="22"/>
          <w:szCs w:val="22"/>
        </w:rPr>
        <w:t xml:space="preserve">using Template 20 – CMHSOC </w:t>
      </w:r>
      <w:r w:rsidR="00252BB3" w:rsidRPr="003A2A2B">
        <w:rPr>
          <w:rFonts w:ascii="Arial Narrow" w:hAnsi="Arial Narrow"/>
          <w:color w:val="auto"/>
          <w:sz w:val="22"/>
          <w:szCs w:val="22"/>
        </w:rPr>
        <w:t>Quarterly</w:t>
      </w:r>
      <w:r w:rsidR="004C1668" w:rsidRPr="003A2A2B">
        <w:rPr>
          <w:rFonts w:ascii="Arial Narrow" w:hAnsi="Arial Narrow"/>
          <w:color w:val="auto"/>
          <w:sz w:val="22"/>
          <w:szCs w:val="22"/>
        </w:rPr>
        <w:t xml:space="preserve"> </w:t>
      </w:r>
      <w:r w:rsidR="009F1830" w:rsidRPr="003A2A2B">
        <w:rPr>
          <w:rFonts w:ascii="Arial Narrow" w:hAnsi="Arial Narrow"/>
          <w:color w:val="auto"/>
          <w:sz w:val="22"/>
          <w:szCs w:val="22"/>
        </w:rPr>
        <w:t>Report</w:t>
      </w:r>
      <w:r w:rsidR="004C1668" w:rsidRPr="003A2A2B">
        <w:rPr>
          <w:rFonts w:ascii="Arial Narrow" w:hAnsi="Arial Narrow"/>
          <w:color w:val="auto"/>
          <w:sz w:val="22"/>
          <w:szCs w:val="22"/>
        </w:rPr>
        <w:t>.</w:t>
      </w:r>
      <w:r w:rsidR="009F1830" w:rsidRPr="003A2A2B">
        <w:rPr>
          <w:rFonts w:ascii="Arial Narrow" w:hAnsi="Arial Narrow"/>
          <w:color w:val="auto"/>
          <w:sz w:val="22"/>
          <w:szCs w:val="22"/>
        </w:rPr>
        <w:t xml:space="preserve"> </w:t>
      </w:r>
    </w:p>
    <w:p w:rsidR="00FE1E19" w:rsidRPr="003A2A2B" w:rsidRDefault="00BE0057" w:rsidP="00FE1E19">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lastRenderedPageBreak/>
        <w:t xml:space="preserve">Determine who is most appropriate to collect data for the National Evaluation.  Ensure that data </w:t>
      </w:r>
      <w:r w:rsidR="00A222B7" w:rsidRPr="003A2A2B">
        <w:rPr>
          <w:rFonts w:ascii="Arial Narrow" w:hAnsi="Arial Narrow"/>
          <w:color w:val="auto"/>
          <w:sz w:val="22"/>
          <w:szCs w:val="22"/>
        </w:rPr>
        <w:t>is</w:t>
      </w:r>
      <w:r w:rsidRPr="003A2A2B">
        <w:rPr>
          <w:rFonts w:ascii="Arial Narrow" w:hAnsi="Arial Narrow"/>
          <w:color w:val="auto"/>
          <w:sz w:val="22"/>
          <w:szCs w:val="22"/>
        </w:rPr>
        <w:t xml:space="preserve"> collected and submitted </w:t>
      </w:r>
      <w:r w:rsidR="00FE1E19" w:rsidRPr="003A2A2B">
        <w:rPr>
          <w:rFonts w:ascii="Arial Narrow" w:hAnsi="Arial Narrow"/>
          <w:color w:val="auto"/>
          <w:sz w:val="22"/>
          <w:szCs w:val="22"/>
        </w:rPr>
        <w:t>through the Children’s Mental Health Initiative (CMHI) National Evaluation Portal at baseline, six months, and 12 months or discharge, whichever comes first.</w:t>
      </w:r>
      <w:r w:rsidRPr="003A2A2B">
        <w:rPr>
          <w:rFonts w:ascii="Arial Narrow" w:hAnsi="Arial Narrow"/>
          <w:color w:val="auto"/>
          <w:sz w:val="22"/>
          <w:szCs w:val="22"/>
        </w:rPr>
        <w:t xml:space="preserve">  The data tools and </w:t>
      </w:r>
      <w:r w:rsidR="00A222B7" w:rsidRPr="003A2A2B">
        <w:rPr>
          <w:rFonts w:ascii="Arial Narrow" w:hAnsi="Arial Narrow"/>
          <w:color w:val="auto"/>
          <w:sz w:val="22"/>
          <w:szCs w:val="22"/>
        </w:rPr>
        <w:t>respondents</w:t>
      </w:r>
      <w:r w:rsidRPr="003A2A2B">
        <w:rPr>
          <w:rFonts w:ascii="Arial Narrow" w:hAnsi="Arial Narrow"/>
          <w:color w:val="auto"/>
          <w:sz w:val="22"/>
          <w:szCs w:val="22"/>
        </w:rPr>
        <w:t xml:space="preserve"> for the Child and Family Outcome Study are:</w:t>
      </w:r>
    </w:p>
    <w:p w:rsidR="00FE1E19" w:rsidRPr="00873194" w:rsidRDefault="00A222B7" w:rsidP="0075030B">
      <w:pPr>
        <w:pStyle w:val="Heading4"/>
        <w:keepNext w:val="0"/>
        <w:keepLines w:val="0"/>
        <w:numPr>
          <w:ilvl w:val="3"/>
          <w:numId w:val="6"/>
        </w:numPr>
        <w:tabs>
          <w:tab w:val="left" w:pos="1620"/>
        </w:tabs>
        <w:spacing w:before="120" w:after="120" w:line="240" w:lineRule="auto"/>
        <w:rPr>
          <w:rFonts w:ascii="Arial Narrow" w:hAnsi="Arial Narrow"/>
          <w:i w:val="0"/>
          <w:color w:val="auto"/>
        </w:rPr>
      </w:pPr>
      <w:r w:rsidRPr="00873194">
        <w:rPr>
          <w:rFonts w:ascii="Arial Narrow" w:hAnsi="Arial Narrow"/>
          <w:i w:val="0"/>
          <w:color w:val="auto"/>
        </w:rPr>
        <w:t>Respondents</w:t>
      </w:r>
    </w:p>
    <w:p w:rsidR="00FE1E19" w:rsidRPr="003A2A2B" w:rsidRDefault="00FE1E19" w:rsidP="0075030B">
      <w:pPr>
        <w:pStyle w:val="ListParagraph"/>
        <w:numPr>
          <w:ilvl w:val="0"/>
          <w:numId w:val="4"/>
        </w:numPr>
        <w:tabs>
          <w:tab w:val="left" w:pos="1980"/>
        </w:tabs>
        <w:ind w:left="1620" w:firstLine="180"/>
        <w:rPr>
          <w:rFonts w:ascii="Arial Narrow" w:hAnsi="Arial Narrow"/>
        </w:rPr>
      </w:pPr>
      <w:r w:rsidRPr="003A2A2B">
        <w:rPr>
          <w:rFonts w:ascii="Arial Narrow" w:hAnsi="Arial Narrow"/>
        </w:rPr>
        <w:t xml:space="preserve">Primary Caregivers for children 5-17 </w:t>
      </w:r>
      <w:r w:rsidR="00A222B7" w:rsidRPr="003A2A2B">
        <w:rPr>
          <w:rFonts w:ascii="Arial Narrow" w:hAnsi="Arial Narrow"/>
        </w:rPr>
        <w:t>years’</w:t>
      </w:r>
      <w:r w:rsidRPr="003A2A2B">
        <w:rPr>
          <w:rFonts w:ascii="Arial Narrow" w:hAnsi="Arial Narrow"/>
        </w:rPr>
        <w:t xml:space="preserve"> old</w:t>
      </w:r>
    </w:p>
    <w:p w:rsidR="00FE1E19" w:rsidRPr="003A2A2B" w:rsidRDefault="00FE1E19" w:rsidP="0075030B">
      <w:pPr>
        <w:pStyle w:val="ListParagraph"/>
        <w:numPr>
          <w:ilvl w:val="0"/>
          <w:numId w:val="4"/>
        </w:numPr>
        <w:tabs>
          <w:tab w:val="left" w:pos="1980"/>
        </w:tabs>
        <w:ind w:left="1620" w:firstLine="180"/>
        <w:rPr>
          <w:rFonts w:ascii="Arial Narrow" w:hAnsi="Arial Narrow"/>
        </w:rPr>
      </w:pPr>
      <w:r w:rsidRPr="003A2A2B">
        <w:rPr>
          <w:rFonts w:ascii="Arial Narrow" w:hAnsi="Arial Narrow"/>
        </w:rPr>
        <w:t>Youth ages 11 to 17</w:t>
      </w:r>
    </w:p>
    <w:p w:rsidR="00FE1E19" w:rsidRPr="003A2A2B" w:rsidRDefault="00FE1E19" w:rsidP="0075030B">
      <w:pPr>
        <w:pStyle w:val="ListParagraph"/>
        <w:numPr>
          <w:ilvl w:val="0"/>
          <w:numId w:val="4"/>
        </w:numPr>
        <w:tabs>
          <w:tab w:val="left" w:pos="1980"/>
        </w:tabs>
        <w:ind w:left="1620" w:firstLine="180"/>
        <w:rPr>
          <w:rFonts w:ascii="Arial Narrow" w:hAnsi="Arial Narrow"/>
        </w:rPr>
      </w:pPr>
      <w:r w:rsidRPr="003A2A2B">
        <w:rPr>
          <w:rFonts w:ascii="Arial Narrow" w:hAnsi="Arial Narrow"/>
        </w:rPr>
        <w:t>Young adults ages 18-21</w:t>
      </w:r>
    </w:p>
    <w:p w:rsidR="00FE1E19" w:rsidRPr="00873194" w:rsidRDefault="00FE1E19" w:rsidP="0075030B">
      <w:pPr>
        <w:pStyle w:val="Heading4"/>
        <w:keepNext w:val="0"/>
        <w:keepLines w:val="0"/>
        <w:numPr>
          <w:ilvl w:val="3"/>
          <w:numId w:val="6"/>
        </w:numPr>
        <w:tabs>
          <w:tab w:val="left" w:pos="1620"/>
        </w:tabs>
        <w:spacing w:before="120" w:after="120" w:line="240" w:lineRule="auto"/>
        <w:rPr>
          <w:rFonts w:ascii="Arial Narrow" w:hAnsi="Arial Narrow"/>
          <w:i w:val="0"/>
          <w:color w:val="auto"/>
        </w:rPr>
      </w:pPr>
      <w:r w:rsidRPr="00873194">
        <w:rPr>
          <w:rFonts w:ascii="Arial Narrow" w:hAnsi="Arial Narrow"/>
          <w:i w:val="0"/>
          <w:color w:val="auto"/>
        </w:rPr>
        <w:t>Data tools</w:t>
      </w:r>
    </w:p>
    <w:p w:rsidR="004C5A86" w:rsidRPr="003A2A2B" w:rsidRDefault="004C5A86" w:rsidP="0075030B">
      <w:pPr>
        <w:pStyle w:val="ListParagraph"/>
        <w:numPr>
          <w:ilvl w:val="0"/>
          <w:numId w:val="7"/>
        </w:numPr>
        <w:tabs>
          <w:tab w:val="left" w:pos="1980"/>
        </w:tabs>
        <w:ind w:left="1620" w:firstLine="180"/>
        <w:rPr>
          <w:rFonts w:ascii="Arial Narrow" w:hAnsi="Arial Narrow"/>
        </w:rPr>
      </w:pPr>
      <w:r w:rsidRPr="003A2A2B">
        <w:rPr>
          <w:rFonts w:ascii="Arial Narrow" w:hAnsi="Arial Narrow"/>
        </w:rPr>
        <w:t>Administrative data – Youth, young adult, caregiver interviews</w:t>
      </w:r>
    </w:p>
    <w:p w:rsidR="00FE1E19" w:rsidRPr="003A2A2B" w:rsidRDefault="00FE1E19" w:rsidP="0075030B">
      <w:pPr>
        <w:pStyle w:val="ListParagraph"/>
        <w:numPr>
          <w:ilvl w:val="0"/>
          <w:numId w:val="7"/>
        </w:numPr>
        <w:tabs>
          <w:tab w:val="left" w:pos="1980"/>
        </w:tabs>
        <w:ind w:left="1620" w:firstLine="180"/>
        <w:rPr>
          <w:rFonts w:ascii="Arial Narrow" w:hAnsi="Arial Narrow"/>
        </w:rPr>
      </w:pPr>
      <w:r w:rsidRPr="003A2A2B">
        <w:rPr>
          <w:rFonts w:ascii="Arial Narrow" w:hAnsi="Arial Narrow"/>
        </w:rPr>
        <w:t xml:space="preserve">Pediatric </w:t>
      </w:r>
      <w:r w:rsidR="00A222B7" w:rsidRPr="003A2A2B">
        <w:rPr>
          <w:rFonts w:ascii="Arial Narrow" w:hAnsi="Arial Narrow"/>
        </w:rPr>
        <w:t>Symptom</w:t>
      </w:r>
      <w:r w:rsidRPr="003A2A2B">
        <w:rPr>
          <w:rFonts w:ascii="Arial Narrow" w:hAnsi="Arial Narrow"/>
        </w:rPr>
        <w:t xml:space="preserve"> Checklist – Youth, young adult, caregiver interviews</w:t>
      </w:r>
    </w:p>
    <w:p w:rsidR="00FE1E19" w:rsidRPr="003A2A2B" w:rsidRDefault="00FE1E19" w:rsidP="0075030B">
      <w:pPr>
        <w:pStyle w:val="ListParagraph"/>
        <w:numPr>
          <w:ilvl w:val="0"/>
          <w:numId w:val="7"/>
        </w:numPr>
        <w:tabs>
          <w:tab w:val="left" w:pos="1980"/>
        </w:tabs>
        <w:ind w:left="1620" w:firstLine="180"/>
        <w:rPr>
          <w:rFonts w:ascii="Arial Narrow" w:hAnsi="Arial Narrow"/>
        </w:rPr>
      </w:pPr>
      <w:r w:rsidRPr="003A2A2B">
        <w:rPr>
          <w:rFonts w:ascii="Arial Narrow" w:hAnsi="Arial Narrow"/>
        </w:rPr>
        <w:t>Columbia Impairment Scale – Youth, young adult, caregiver interviews</w:t>
      </w:r>
    </w:p>
    <w:p w:rsidR="00FE1E19" w:rsidRPr="003A2A2B" w:rsidRDefault="00FE1E19" w:rsidP="0075030B">
      <w:pPr>
        <w:pStyle w:val="ListParagraph"/>
        <w:numPr>
          <w:ilvl w:val="0"/>
          <w:numId w:val="7"/>
        </w:numPr>
        <w:tabs>
          <w:tab w:val="left" w:pos="1980"/>
        </w:tabs>
        <w:ind w:left="1620" w:firstLine="180"/>
        <w:rPr>
          <w:rFonts w:ascii="Arial Narrow" w:hAnsi="Arial Narrow"/>
        </w:rPr>
      </w:pPr>
      <w:r w:rsidRPr="003A2A2B">
        <w:rPr>
          <w:rFonts w:ascii="Arial Narrow" w:hAnsi="Arial Narrow"/>
        </w:rPr>
        <w:t>Caregiver Strain Questionnaire – caregiver interview</w:t>
      </w:r>
    </w:p>
    <w:p w:rsidR="00252BB3" w:rsidRPr="003A2A2B" w:rsidRDefault="00FE1E19" w:rsidP="003A2A2B">
      <w:pPr>
        <w:rPr>
          <w:rFonts w:ascii="Arial Narrow" w:hAnsi="Arial Narrow"/>
        </w:rPr>
      </w:pPr>
      <w:r w:rsidRPr="003A2A2B">
        <w:rPr>
          <w:rFonts w:ascii="Arial Narrow" w:hAnsi="Arial Narrow"/>
        </w:rPr>
        <w:tab/>
      </w:r>
      <w:r w:rsidR="00252BB3" w:rsidRPr="003A2A2B">
        <w:rPr>
          <w:rFonts w:ascii="Arial Narrow" w:hAnsi="Arial Narrow"/>
        </w:rPr>
        <w:t>Required Reporting</w:t>
      </w:r>
    </w:p>
    <w:tbl>
      <w:tblPr>
        <w:tblStyle w:val="TableGrid"/>
        <w:tblW w:w="10080" w:type="dxa"/>
        <w:tblLayout w:type="fixed"/>
        <w:tblLook w:val="04A0" w:firstRow="1" w:lastRow="0" w:firstColumn="1" w:lastColumn="0" w:noHBand="0" w:noVBand="1"/>
      </w:tblPr>
      <w:tblGrid>
        <w:gridCol w:w="2610"/>
        <w:gridCol w:w="3150"/>
        <w:gridCol w:w="2070"/>
        <w:gridCol w:w="2250"/>
      </w:tblGrid>
      <w:tr w:rsidR="00B84571" w:rsidRPr="003A2A2B" w:rsidTr="00B84571">
        <w:trPr>
          <w:trHeight w:val="350"/>
        </w:trPr>
        <w:tc>
          <w:tcPr>
            <w:tcW w:w="10080" w:type="dxa"/>
            <w:gridSpan w:val="4"/>
            <w:shd w:val="clear" w:color="auto" w:fill="E2EFD9" w:themeFill="accent6" w:themeFillTint="33"/>
          </w:tcPr>
          <w:p w:rsidR="00B84571" w:rsidRPr="003A2A2B" w:rsidRDefault="00B84571" w:rsidP="003462C9">
            <w:pPr>
              <w:jc w:val="center"/>
              <w:rPr>
                <w:rFonts w:ascii="Arial Narrow" w:hAnsi="Arial Narrow"/>
                <w:b/>
              </w:rPr>
            </w:pPr>
            <w:r w:rsidRPr="003A2A2B">
              <w:rPr>
                <w:rFonts w:ascii="Arial Narrow" w:hAnsi="Arial Narrow"/>
                <w:b/>
              </w:rPr>
              <w:t xml:space="preserve">Summary of Required CMHSOC Project Reporting </w:t>
            </w:r>
          </w:p>
        </w:tc>
      </w:tr>
      <w:tr w:rsidR="00B97018" w:rsidRPr="003A2A2B" w:rsidTr="005D39DF">
        <w:tc>
          <w:tcPr>
            <w:tcW w:w="2610" w:type="dxa"/>
            <w:shd w:val="clear" w:color="auto" w:fill="DEEAF6" w:themeFill="accent1" w:themeFillTint="33"/>
          </w:tcPr>
          <w:p w:rsidR="00B97018" w:rsidRPr="003A2A2B" w:rsidRDefault="00B97018" w:rsidP="003462C9">
            <w:pPr>
              <w:jc w:val="center"/>
              <w:rPr>
                <w:rFonts w:ascii="Arial Narrow" w:hAnsi="Arial Narrow"/>
                <w:b/>
              </w:rPr>
            </w:pPr>
          </w:p>
          <w:p w:rsidR="00B97018" w:rsidRPr="003A2A2B" w:rsidRDefault="00B97018" w:rsidP="003462C9">
            <w:pPr>
              <w:jc w:val="center"/>
              <w:rPr>
                <w:rFonts w:ascii="Arial Narrow" w:hAnsi="Arial Narrow"/>
                <w:b/>
              </w:rPr>
            </w:pPr>
            <w:r w:rsidRPr="003A2A2B">
              <w:rPr>
                <w:rFonts w:ascii="Arial Narrow" w:hAnsi="Arial Narrow"/>
                <w:b/>
              </w:rPr>
              <w:t>Name of Report</w:t>
            </w:r>
          </w:p>
        </w:tc>
        <w:tc>
          <w:tcPr>
            <w:tcW w:w="3150" w:type="dxa"/>
            <w:shd w:val="clear" w:color="auto" w:fill="DEEAF6" w:themeFill="accent1" w:themeFillTint="33"/>
          </w:tcPr>
          <w:p w:rsidR="00B97018" w:rsidRPr="003A2A2B" w:rsidRDefault="00B97018" w:rsidP="003462C9">
            <w:pPr>
              <w:jc w:val="center"/>
              <w:rPr>
                <w:rFonts w:ascii="Arial Narrow" w:hAnsi="Arial Narrow"/>
                <w:b/>
              </w:rPr>
            </w:pPr>
          </w:p>
          <w:p w:rsidR="00B97018" w:rsidRPr="003A2A2B" w:rsidRDefault="00B97018" w:rsidP="003462C9">
            <w:pPr>
              <w:jc w:val="center"/>
              <w:rPr>
                <w:rFonts w:ascii="Arial Narrow" w:hAnsi="Arial Narrow"/>
                <w:b/>
              </w:rPr>
            </w:pPr>
            <w:r w:rsidRPr="003A2A2B">
              <w:rPr>
                <w:rFonts w:ascii="Arial Narrow" w:hAnsi="Arial Narrow"/>
                <w:b/>
              </w:rPr>
              <w:t>Method for Reporting</w:t>
            </w:r>
          </w:p>
        </w:tc>
        <w:tc>
          <w:tcPr>
            <w:tcW w:w="2070" w:type="dxa"/>
            <w:shd w:val="clear" w:color="auto" w:fill="DEEAF6" w:themeFill="accent1" w:themeFillTint="33"/>
          </w:tcPr>
          <w:p w:rsidR="00B97018" w:rsidRPr="003A2A2B" w:rsidRDefault="00B97018" w:rsidP="003462C9">
            <w:pPr>
              <w:jc w:val="center"/>
              <w:rPr>
                <w:rFonts w:ascii="Arial Narrow" w:hAnsi="Arial Narrow"/>
                <w:b/>
              </w:rPr>
            </w:pPr>
            <w:r w:rsidRPr="003A2A2B">
              <w:rPr>
                <w:rFonts w:ascii="Arial Narrow" w:hAnsi="Arial Narrow"/>
                <w:b/>
              </w:rPr>
              <w:t>Who Completes Report/Tool</w:t>
            </w:r>
          </w:p>
        </w:tc>
        <w:tc>
          <w:tcPr>
            <w:tcW w:w="2250" w:type="dxa"/>
            <w:shd w:val="clear" w:color="auto" w:fill="DEEAF6" w:themeFill="accent1" w:themeFillTint="33"/>
          </w:tcPr>
          <w:p w:rsidR="00B97018" w:rsidRPr="003A2A2B" w:rsidRDefault="00B97018" w:rsidP="003462C9">
            <w:pPr>
              <w:jc w:val="center"/>
              <w:rPr>
                <w:rFonts w:ascii="Arial Narrow" w:hAnsi="Arial Narrow"/>
                <w:b/>
              </w:rPr>
            </w:pPr>
          </w:p>
          <w:p w:rsidR="00B97018" w:rsidRPr="003A2A2B" w:rsidRDefault="00B97018" w:rsidP="003462C9">
            <w:pPr>
              <w:jc w:val="center"/>
              <w:rPr>
                <w:rFonts w:ascii="Arial Narrow" w:hAnsi="Arial Narrow"/>
                <w:b/>
              </w:rPr>
            </w:pPr>
            <w:r w:rsidRPr="003A2A2B">
              <w:rPr>
                <w:rFonts w:ascii="Arial Narrow" w:hAnsi="Arial Narrow"/>
                <w:b/>
              </w:rPr>
              <w:t>Due Date</w:t>
            </w:r>
          </w:p>
        </w:tc>
      </w:tr>
      <w:tr w:rsidR="00B97018" w:rsidRPr="003A2A2B" w:rsidTr="003462C9">
        <w:trPr>
          <w:trHeight w:val="1637"/>
        </w:trPr>
        <w:tc>
          <w:tcPr>
            <w:tcW w:w="2610" w:type="dxa"/>
          </w:tcPr>
          <w:p w:rsidR="00B97018" w:rsidRPr="003A2A2B" w:rsidRDefault="00B97018" w:rsidP="003462C9">
            <w:pPr>
              <w:rPr>
                <w:rFonts w:ascii="Arial Narrow" w:hAnsi="Arial Narrow"/>
                <w:b/>
              </w:rPr>
            </w:pPr>
          </w:p>
          <w:p w:rsidR="00A01B7B" w:rsidRPr="003A2A2B" w:rsidRDefault="00B97018" w:rsidP="003462C9">
            <w:pPr>
              <w:rPr>
                <w:rFonts w:ascii="Arial Narrow" w:hAnsi="Arial Narrow"/>
              </w:rPr>
            </w:pPr>
            <w:r w:rsidRPr="003A2A2B">
              <w:rPr>
                <w:rFonts w:ascii="Arial Narrow" w:hAnsi="Arial Narrow"/>
                <w:b/>
              </w:rPr>
              <w:t xml:space="preserve">IPP Survey </w:t>
            </w:r>
            <w:r w:rsidRPr="003A2A2B">
              <w:rPr>
                <w:rFonts w:ascii="Arial Narrow" w:hAnsi="Arial Narrow"/>
              </w:rPr>
              <w:t>- Infrastructure, Development Prevention and Mental Health Promotion</w:t>
            </w:r>
            <w:r w:rsidR="00A01B7B" w:rsidRPr="003A2A2B">
              <w:rPr>
                <w:rFonts w:ascii="Arial Narrow" w:hAnsi="Arial Narrow"/>
              </w:rPr>
              <w:t xml:space="preserve"> </w:t>
            </w:r>
          </w:p>
          <w:p w:rsidR="00B97018" w:rsidRPr="003A2A2B" w:rsidRDefault="00A01B7B" w:rsidP="003462C9">
            <w:pPr>
              <w:rPr>
                <w:rFonts w:ascii="Arial Narrow" w:hAnsi="Arial Narrow"/>
              </w:rPr>
            </w:pPr>
            <w:r w:rsidRPr="003A2A2B">
              <w:rPr>
                <w:rFonts w:ascii="Arial Narrow" w:hAnsi="Arial Narrow"/>
              </w:rPr>
              <w:t>(see IV. B. 6.)</w:t>
            </w:r>
            <w:r w:rsidR="00B97018" w:rsidRPr="003A2A2B">
              <w:rPr>
                <w:rFonts w:ascii="Arial Narrow" w:hAnsi="Arial Narrow"/>
              </w:rPr>
              <w:t xml:space="preserve"> </w:t>
            </w:r>
          </w:p>
        </w:tc>
        <w:tc>
          <w:tcPr>
            <w:tcW w:w="315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 xml:space="preserve">Submit data to the designated evaluators via a template to be provided by evaluators. </w:t>
            </w:r>
            <w:r w:rsidRPr="003A2A2B">
              <w:rPr>
                <w:rFonts w:ascii="Arial Narrow" w:hAnsi="Arial Narrow"/>
                <w:color w:val="FF0000"/>
              </w:rPr>
              <w:t xml:space="preserve"> </w:t>
            </w:r>
          </w:p>
        </w:tc>
        <w:tc>
          <w:tcPr>
            <w:tcW w:w="207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SOC Coordinator and ME</w:t>
            </w:r>
          </w:p>
        </w:tc>
        <w:tc>
          <w:tcPr>
            <w:tcW w:w="225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 xml:space="preserve">DCF designated evaluators to determine due dates </w:t>
            </w:r>
          </w:p>
          <w:p w:rsidR="00B97018" w:rsidRPr="003A2A2B" w:rsidRDefault="00B97018" w:rsidP="003462C9">
            <w:pPr>
              <w:rPr>
                <w:rFonts w:ascii="Arial Narrow" w:hAnsi="Arial Narrow"/>
              </w:rPr>
            </w:pPr>
            <w:r w:rsidRPr="003A2A2B">
              <w:rPr>
                <w:rFonts w:ascii="Arial Narrow" w:hAnsi="Arial Narrow"/>
              </w:rPr>
              <w:t xml:space="preserve">Due to SAMHSA quarterly </w:t>
            </w:r>
          </w:p>
        </w:tc>
      </w:tr>
      <w:tr w:rsidR="00B97018" w:rsidRPr="003A2A2B" w:rsidTr="003462C9">
        <w:trPr>
          <w:trHeight w:val="1097"/>
        </w:trPr>
        <w:tc>
          <w:tcPr>
            <w:tcW w:w="2610" w:type="dxa"/>
          </w:tcPr>
          <w:p w:rsidR="00B97018" w:rsidRPr="003A2A2B" w:rsidRDefault="00B97018" w:rsidP="003462C9">
            <w:pPr>
              <w:rPr>
                <w:rFonts w:ascii="Arial Narrow" w:hAnsi="Arial Narrow"/>
                <w:b/>
              </w:rPr>
            </w:pPr>
          </w:p>
          <w:p w:rsidR="00A01B7B" w:rsidRPr="003A2A2B" w:rsidRDefault="00B97018" w:rsidP="003462C9">
            <w:pPr>
              <w:rPr>
                <w:rFonts w:ascii="Arial Narrow" w:hAnsi="Arial Narrow"/>
                <w:b/>
              </w:rPr>
            </w:pPr>
            <w:r w:rsidRPr="003A2A2B">
              <w:rPr>
                <w:rFonts w:ascii="Arial Narrow" w:hAnsi="Arial Narrow"/>
                <w:b/>
              </w:rPr>
              <w:t>Template 20 – CMHSOC Quarterly Report</w:t>
            </w:r>
            <w:r w:rsidR="00A01B7B" w:rsidRPr="003A2A2B">
              <w:rPr>
                <w:rFonts w:ascii="Arial Narrow" w:hAnsi="Arial Narrow"/>
                <w:b/>
              </w:rPr>
              <w:t xml:space="preserve"> </w:t>
            </w:r>
          </w:p>
          <w:p w:rsidR="00B97018" w:rsidRPr="003A2A2B" w:rsidRDefault="00A01B7B" w:rsidP="003462C9">
            <w:pPr>
              <w:rPr>
                <w:rFonts w:ascii="Arial Narrow" w:hAnsi="Arial Narrow"/>
                <w:b/>
              </w:rPr>
            </w:pPr>
            <w:r w:rsidRPr="003A2A2B">
              <w:rPr>
                <w:rFonts w:ascii="Arial Narrow" w:hAnsi="Arial Narrow"/>
                <w:b/>
              </w:rPr>
              <w:t xml:space="preserve"> </w:t>
            </w:r>
            <w:r w:rsidRPr="003A2A2B">
              <w:rPr>
                <w:rFonts w:ascii="Arial Narrow" w:hAnsi="Arial Narrow"/>
              </w:rPr>
              <w:t>(see IV. B. 7)</w:t>
            </w:r>
          </w:p>
        </w:tc>
        <w:tc>
          <w:tcPr>
            <w:tcW w:w="315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 xml:space="preserve">Complete and submit Template 20 to CMHSOC Project Director – </w:t>
            </w:r>
            <w:hyperlink r:id="rId12" w:history="1">
              <w:r w:rsidRPr="003A2A2B">
                <w:rPr>
                  <w:rStyle w:val="Hyperlink"/>
                  <w:rFonts w:ascii="Arial Narrow" w:hAnsi="Arial Narrow"/>
                </w:rPr>
                <w:t>Qasimah.Boston@myflfamilies.com</w:t>
              </w:r>
            </w:hyperlink>
          </w:p>
          <w:p w:rsidR="00B97018" w:rsidRPr="003A2A2B" w:rsidRDefault="00B97018" w:rsidP="003462C9">
            <w:pPr>
              <w:rPr>
                <w:rFonts w:ascii="Arial Narrow" w:hAnsi="Arial Narrow"/>
              </w:rPr>
            </w:pPr>
            <w:r w:rsidRPr="003A2A2B">
              <w:rPr>
                <w:rFonts w:ascii="Arial Narrow" w:hAnsi="Arial Narrow"/>
              </w:rPr>
              <w:t xml:space="preserve"> </w:t>
            </w:r>
          </w:p>
        </w:tc>
        <w:tc>
          <w:tcPr>
            <w:tcW w:w="207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SOC Coordinator and ME</w:t>
            </w:r>
          </w:p>
        </w:tc>
        <w:tc>
          <w:tcPr>
            <w:tcW w:w="225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Quarterly by the 20</w:t>
            </w:r>
            <w:r w:rsidRPr="003A2A2B">
              <w:rPr>
                <w:rFonts w:ascii="Arial Narrow" w:hAnsi="Arial Narrow"/>
                <w:vertAlign w:val="superscript"/>
              </w:rPr>
              <w:t>th</w:t>
            </w:r>
            <w:r w:rsidRPr="003A2A2B">
              <w:rPr>
                <w:rFonts w:ascii="Arial Narrow" w:hAnsi="Arial Narrow"/>
              </w:rPr>
              <w:t xml:space="preserve"> day of the month following each quarter</w:t>
            </w:r>
          </w:p>
        </w:tc>
        <w:bookmarkStart w:id="0" w:name="_GoBack"/>
        <w:bookmarkEnd w:id="0"/>
      </w:tr>
      <w:tr w:rsidR="00B97018" w:rsidRPr="003A2A2B" w:rsidTr="003462C9">
        <w:trPr>
          <w:trHeight w:val="1079"/>
        </w:trPr>
        <w:tc>
          <w:tcPr>
            <w:tcW w:w="2610" w:type="dxa"/>
          </w:tcPr>
          <w:p w:rsidR="00B97018" w:rsidRPr="003A2A2B" w:rsidRDefault="00B97018" w:rsidP="003462C9">
            <w:pPr>
              <w:rPr>
                <w:rFonts w:ascii="Arial Narrow" w:hAnsi="Arial Narrow"/>
                <w:b/>
              </w:rPr>
            </w:pPr>
          </w:p>
          <w:p w:rsidR="00A01B7B" w:rsidRPr="003A2A2B" w:rsidRDefault="00B97018" w:rsidP="003462C9">
            <w:pPr>
              <w:rPr>
                <w:rFonts w:ascii="Arial Narrow" w:hAnsi="Arial Narrow"/>
                <w:b/>
              </w:rPr>
            </w:pPr>
            <w:r w:rsidRPr="003A2A2B">
              <w:rPr>
                <w:rFonts w:ascii="Arial Narrow" w:hAnsi="Arial Narrow"/>
                <w:b/>
              </w:rPr>
              <w:t>SERVICES TOOL - Child or Adolescent Respondent Version and Caregiver Respondent Version</w:t>
            </w:r>
          </w:p>
          <w:p w:rsidR="00B97018" w:rsidRPr="003A2A2B" w:rsidRDefault="00A01B7B" w:rsidP="003462C9">
            <w:pPr>
              <w:rPr>
                <w:rFonts w:ascii="Arial Narrow" w:hAnsi="Arial Narrow"/>
              </w:rPr>
            </w:pPr>
            <w:r w:rsidRPr="003A2A2B">
              <w:rPr>
                <w:rFonts w:ascii="Arial Narrow" w:hAnsi="Arial Narrow"/>
              </w:rPr>
              <w:t>(see IV. A. 9)</w:t>
            </w:r>
          </w:p>
        </w:tc>
        <w:tc>
          <w:tcPr>
            <w:tcW w:w="315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i/>
              </w:rPr>
              <w:t xml:space="preserve">SERVICES TOOL Child/Adolescent or Caregiver Combined Respondent Version and submission of </w:t>
            </w:r>
            <w:r w:rsidRPr="003A2A2B">
              <w:rPr>
                <w:rFonts w:ascii="Arial Narrow" w:hAnsi="Arial Narrow"/>
              </w:rPr>
              <w:t>data into SPARS</w:t>
            </w:r>
          </w:p>
        </w:tc>
        <w:tc>
          <w:tcPr>
            <w:tcW w:w="2070" w:type="dxa"/>
          </w:tcPr>
          <w:p w:rsidR="00B97018" w:rsidRPr="003A2A2B" w:rsidRDefault="00B97018" w:rsidP="003462C9">
            <w:pPr>
              <w:rPr>
                <w:rFonts w:ascii="Arial Narrow" w:hAnsi="Arial Narrow"/>
              </w:rPr>
            </w:pPr>
          </w:p>
          <w:p w:rsidR="00B97018" w:rsidRPr="003A2A2B" w:rsidRDefault="00B97018" w:rsidP="003462C9">
            <w:pPr>
              <w:rPr>
                <w:rFonts w:ascii="Arial Narrow" w:hAnsi="Arial Narrow"/>
              </w:rPr>
            </w:pPr>
            <w:r w:rsidRPr="003A2A2B">
              <w:rPr>
                <w:rFonts w:ascii="Arial Narrow" w:hAnsi="Arial Narrow"/>
              </w:rPr>
              <w:t>Case manager/care coordinator completes and enters data into SPARS</w:t>
            </w:r>
          </w:p>
        </w:tc>
        <w:tc>
          <w:tcPr>
            <w:tcW w:w="2250" w:type="dxa"/>
          </w:tcPr>
          <w:p w:rsidR="00B97018" w:rsidRPr="003A2A2B" w:rsidRDefault="00B97018" w:rsidP="003462C9">
            <w:pPr>
              <w:rPr>
                <w:rFonts w:ascii="Arial Narrow" w:hAnsi="Arial Narrow"/>
              </w:rPr>
            </w:pPr>
            <w:r w:rsidRPr="003A2A2B">
              <w:rPr>
                <w:rFonts w:ascii="Arial Narrow" w:hAnsi="Arial Narrow"/>
              </w:rPr>
              <w:t xml:space="preserve"> </w:t>
            </w:r>
          </w:p>
          <w:p w:rsidR="00B97018" w:rsidRPr="003A2A2B" w:rsidRDefault="00B97018" w:rsidP="003462C9">
            <w:pPr>
              <w:rPr>
                <w:rFonts w:ascii="Arial Narrow" w:hAnsi="Arial Narrow"/>
              </w:rPr>
            </w:pPr>
            <w:r w:rsidRPr="003A2A2B">
              <w:rPr>
                <w:rFonts w:ascii="Arial Narrow" w:hAnsi="Arial Narrow"/>
              </w:rPr>
              <w:t xml:space="preserve">Data to be entered into SPARS within 30 days of completion of the instrument </w:t>
            </w:r>
          </w:p>
        </w:tc>
      </w:tr>
    </w:tbl>
    <w:p w:rsidR="00B97018" w:rsidRPr="003A2A2B" w:rsidRDefault="00B97018" w:rsidP="00B86AF2">
      <w:pPr>
        <w:spacing w:after="0" w:line="240" w:lineRule="auto"/>
        <w:contextualSpacing/>
        <w:rPr>
          <w:rFonts w:ascii="Arial Narrow" w:hAnsi="Arial Narrow"/>
        </w:rPr>
      </w:pPr>
    </w:p>
    <w:p w:rsidR="007A7EC9" w:rsidRPr="003A2A2B" w:rsidRDefault="007A7EC9" w:rsidP="00B86AF2">
      <w:pPr>
        <w:pStyle w:val="Heading1"/>
        <w:keepNext w:val="0"/>
        <w:tabs>
          <w:tab w:val="left" w:pos="360"/>
        </w:tabs>
        <w:contextualSpacing/>
      </w:pPr>
      <w:r w:rsidRPr="003A2A2B">
        <w:t>Local CMHSOC Project Team</w:t>
      </w:r>
      <w:r w:rsidR="00816D1E" w:rsidRPr="003A2A2B">
        <w:t xml:space="preserve"> </w:t>
      </w:r>
    </w:p>
    <w:p w:rsidR="00816D1E" w:rsidRPr="003A2A2B" w:rsidRDefault="007A7EC9" w:rsidP="00945B75">
      <w:pPr>
        <w:pStyle w:val="Heading2"/>
        <w:keepNext w:val="0"/>
        <w:keepLines w:val="0"/>
        <w:numPr>
          <w:ilvl w:val="0"/>
          <w:numId w:val="0"/>
        </w:numPr>
        <w:tabs>
          <w:tab w:val="left" w:pos="900"/>
        </w:tabs>
        <w:spacing w:before="120" w:after="120" w:line="240" w:lineRule="auto"/>
        <w:rPr>
          <w:rFonts w:ascii="Arial Narrow" w:hAnsi="Arial Narrow"/>
          <w:color w:val="auto"/>
          <w:sz w:val="22"/>
          <w:szCs w:val="22"/>
        </w:rPr>
      </w:pPr>
      <w:r w:rsidRPr="003A2A2B">
        <w:rPr>
          <w:rFonts w:ascii="Arial Narrow" w:hAnsi="Arial Narrow"/>
          <w:color w:val="auto"/>
          <w:sz w:val="22"/>
          <w:szCs w:val="22"/>
        </w:rPr>
        <w:t xml:space="preserve">In addition to </w:t>
      </w:r>
      <w:r w:rsidR="00BA3403" w:rsidRPr="003A2A2B">
        <w:rPr>
          <w:rFonts w:ascii="Arial Narrow" w:hAnsi="Arial Narrow"/>
          <w:color w:val="auto"/>
          <w:sz w:val="22"/>
          <w:szCs w:val="22"/>
        </w:rPr>
        <w:t>subcontracting</w:t>
      </w:r>
      <w:r w:rsidR="002A2372" w:rsidRPr="003A2A2B">
        <w:rPr>
          <w:rFonts w:ascii="Arial Narrow" w:hAnsi="Arial Narrow"/>
          <w:color w:val="auto"/>
          <w:sz w:val="22"/>
          <w:szCs w:val="22"/>
        </w:rPr>
        <w:t xml:space="preserve"> with Network Service Providers</w:t>
      </w:r>
      <w:r w:rsidRPr="003A2A2B">
        <w:rPr>
          <w:rFonts w:ascii="Arial Narrow" w:hAnsi="Arial Narrow"/>
          <w:color w:val="auto"/>
          <w:sz w:val="22"/>
          <w:szCs w:val="22"/>
        </w:rPr>
        <w:t xml:space="preserve"> </w:t>
      </w:r>
      <w:r w:rsidR="00DD5D22" w:rsidRPr="003A2A2B">
        <w:rPr>
          <w:rFonts w:ascii="Arial Narrow" w:hAnsi="Arial Narrow"/>
          <w:color w:val="auto"/>
          <w:sz w:val="22"/>
          <w:szCs w:val="22"/>
        </w:rPr>
        <w:t xml:space="preserve">for </w:t>
      </w:r>
      <w:r w:rsidRPr="003A2A2B">
        <w:rPr>
          <w:rFonts w:ascii="Arial Narrow" w:hAnsi="Arial Narrow"/>
          <w:color w:val="auto"/>
          <w:sz w:val="22"/>
          <w:szCs w:val="22"/>
        </w:rPr>
        <w:t>CMHSOC</w:t>
      </w:r>
      <w:r w:rsidR="00BA3403" w:rsidRPr="003A2A2B">
        <w:rPr>
          <w:rFonts w:ascii="Arial Narrow" w:hAnsi="Arial Narrow"/>
          <w:color w:val="auto"/>
          <w:sz w:val="22"/>
          <w:szCs w:val="22"/>
        </w:rPr>
        <w:t>-funded</w:t>
      </w:r>
      <w:r w:rsidRPr="003A2A2B">
        <w:rPr>
          <w:rFonts w:ascii="Arial Narrow" w:hAnsi="Arial Narrow"/>
          <w:color w:val="auto"/>
          <w:sz w:val="22"/>
          <w:szCs w:val="22"/>
        </w:rPr>
        <w:t xml:space="preserve"> services, </w:t>
      </w:r>
      <w:r w:rsidR="00096AF4" w:rsidRPr="003A2A2B">
        <w:rPr>
          <w:rFonts w:ascii="Arial Narrow" w:hAnsi="Arial Narrow"/>
          <w:color w:val="auto"/>
          <w:sz w:val="22"/>
          <w:szCs w:val="22"/>
        </w:rPr>
        <w:t xml:space="preserve">Central Florida Behavioral Health Network and Southeast Florida Behavioral Health Network </w:t>
      </w:r>
      <w:r w:rsidRPr="003A2A2B">
        <w:rPr>
          <w:rFonts w:ascii="Arial Narrow" w:hAnsi="Arial Narrow"/>
          <w:color w:val="auto"/>
          <w:sz w:val="22"/>
          <w:szCs w:val="22"/>
        </w:rPr>
        <w:t xml:space="preserve">will staff </w:t>
      </w:r>
      <w:r w:rsidR="0008284E" w:rsidRPr="003A2A2B">
        <w:rPr>
          <w:rFonts w:ascii="Arial Narrow" w:hAnsi="Arial Narrow"/>
          <w:color w:val="auto"/>
          <w:sz w:val="22"/>
          <w:szCs w:val="22"/>
        </w:rPr>
        <w:t xml:space="preserve">or subcontract for </w:t>
      </w:r>
      <w:r w:rsidR="00816D1E" w:rsidRPr="003A2A2B">
        <w:rPr>
          <w:rFonts w:ascii="Arial Narrow" w:hAnsi="Arial Narrow"/>
          <w:color w:val="auto"/>
          <w:sz w:val="22"/>
          <w:szCs w:val="22"/>
        </w:rPr>
        <w:t xml:space="preserve">the following </w:t>
      </w:r>
      <w:r w:rsidRPr="003A2A2B">
        <w:rPr>
          <w:rFonts w:ascii="Arial Narrow" w:hAnsi="Arial Narrow"/>
          <w:color w:val="auto"/>
          <w:sz w:val="22"/>
          <w:szCs w:val="22"/>
        </w:rPr>
        <w:t>positions essential to managing the activities of this project</w:t>
      </w:r>
      <w:r w:rsidR="00816D1E" w:rsidRPr="003A2A2B">
        <w:rPr>
          <w:rFonts w:ascii="Arial Narrow" w:hAnsi="Arial Narrow"/>
          <w:color w:val="auto"/>
          <w:sz w:val="22"/>
          <w:szCs w:val="22"/>
        </w:rPr>
        <w:t>:</w:t>
      </w:r>
      <w:r w:rsidRPr="003A2A2B">
        <w:rPr>
          <w:rFonts w:ascii="Arial Narrow" w:hAnsi="Arial Narrow"/>
          <w:color w:val="auto"/>
          <w:sz w:val="22"/>
          <w:szCs w:val="22"/>
        </w:rPr>
        <w:t xml:space="preserve"> </w:t>
      </w:r>
    </w:p>
    <w:p w:rsidR="00816D1E" w:rsidRPr="003A2A2B" w:rsidRDefault="00816D1E" w:rsidP="00945B75">
      <w:pPr>
        <w:pStyle w:val="Heading2"/>
        <w:keepNext w:val="0"/>
        <w:keepLines w:val="0"/>
        <w:tabs>
          <w:tab w:val="left" w:pos="900"/>
        </w:tabs>
        <w:spacing w:before="120" w:after="120" w:line="240" w:lineRule="auto"/>
        <w:ind w:left="450" w:right="-180"/>
        <w:rPr>
          <w:rFonts w:ascii="Arial Narrow" w:hAnsi="Arial Narrow"/>
          <w:color w:val="auto"/>
          <w:sz w:val="22"/>
          <w:szCs w:val="22"/>
        </w:rPr>
      </w:pPr>
      <w:r w:rsidRPr="003A2A2B">
        <w:rPr>
          <w:rFonts w:ascii="Arial Narrow" w:hAnsi="Arial Narrow"/>
          <w:color w:val="auto"/>
          <w:sz w:val="22"/>
          <w:szCs w:val="22"/>
        </w:rPr>
        <w:t xml:space="preserve">1.0 FTE </w:t>
      </w:r>
      <w:r w:rsidR="007A7EC9" w:rsidRPr="003A2A2B">
        <w:rPr>
          <w:rFonts w:ascii="Arial Narrow" w:hAnsi="Arial Narrow"/>
          <w:color w:val="auto"/>
          <w:sz w:val="22"/>
          <w:szCs w:val="22"/>
        </w:rPr>
        <w:t>CMHSOC Local Coordinator</w:t>
      </w:r>
      <w:r w:rsidRPr="003A2A2B">
        <w:rPr>
          <w:rFonts w:ascii="Arial Narrow" w:hAnsi="Arial Narrow"/>
          <w:color w:val="auto"/>
          <w:sz w:val="22"/>
          <w:szCs w:val="22"/>
        </w:rPr>
        <w:t xml:space="preserve"> responsible for</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 xml:space="preserve">Oversight of all aspects of the local CMHSOC project;  </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Facilitating collaboration by local partners, including child welfare, education, juvenile justice, substance abuse, primary care and family organizations engaged in the project and</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lastRenderedPageBreak/>
        <w:t>Coordinating local CMHSOC meetings and projects.</w:t>
      </w:r>
    </w:p>
    <w:p w:rsidR="00816D1E" w:rsidRPr="003A2A2B" w:rsidRDefault="00816D1E" w:rsidP="00945B75">
      <w:pPr>
        <w:pStyle w:val="Heading2"/>
        <w:keepNext w:val="0"/>
        <w:keepLines w:val="0"/>
        <w:tabs>
          <w:tab w:val="left" w:pos="900"/>
        </w:tabs>
        <w:spacing w:before="120" w:after="120" w:line="240" w:lineRule="auto"/>
        <w:ind w:left="450" w:right="-180"/>
        <w:rPr>
          <w:rFonts w:ascii="Arial Narrow" w:hAnsi="Arial Narrow"/>
          <w:color w:val="auto"/>
          <w:sz w:val="22"/>
          <w:szCs w:val="22"/>
        </w:rPr>
      </w:pPr>
      <w:r w:rsidRPr="003A2A2B">
        <w:rPr>
          <w:rFonts w:ascii="Arial Narrow" w:hAnsi="Arial Narrow"/>
          <w:color w:val="auto"/>
          <w:sz w:val="22"/>
          <w:szCs w:val="22"/>
        </w:rPr>
        <w:t xml:space="preserve">1.0 FTE </w:t>
      </w:r>
      <w:r w:rsidR="007A7EC9" w:rsidRPr="003A2A2B">
        <w:rPr>
          <w:rFonts w:ascii="Arial Narrow" w:hAnsi="Arial Narrow"/>
          <w:color w:val="auto"/>
          <w:sz w:val="22"/>
          <w:szCs w:val="22"/>
        </w:rPr>
        <w:t>CMHSO</w:t>
      </w:r>
      <w:r w:rsidRPr="003A2A2B">
        <w:rPr>
          <w:rFonts w:ascii="Arial Narrow" w:hAnsi="Arial Narrow"/>
          <w:color w:val="auto"/>
          <w:sz w:val="22"/>
          <w:szCs w:val="22"/>
        </w:rPr>
        <w:t xml:space="preserve">C Local Parent Coordinator responsible for </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Providing peer support to parents served by the project;</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Facilitating parent participation in project activities and the Wraparound Approach;</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Advocating for the parent perspective in routine operations; and for the development of chapters of formalized family-run organizations; and</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Providing consultation and training for project partners to improve the effectiveness of parent-to-professional partnerships.</w:t>
      </w:r>
    </w:p>
    <w:p w:rsidR="00816D1E" w:rsidRPr="003A2A2B" w:rsidRDefault="00A50E14" w:rsidP="00945B75">
      <w:pPr>
        <w:pStyle w:val="Heading2"/>
        <w:keepNext w:val="0"/>
        <w:keepLines w:val="0"/>
        <w:tabs>
          <w:tab w:val="left" w:pos="900"/>
        </w:tabs>
        <w:spacing w:before="120" w:after="120" w:line="240" w:lineRule="auto"/>
        <w:ind w:left="450" w:right="-180"/>
        <w:rPr>
          <w:rFonts w:ascii="Arial Narrow" w:hAnsi="Arial Narrow"/>
          <w:color w:val="auto"/>
          <w:sz w:val="22"/>
          <w:szCs w:val="22"/>
        </w:rPr>
      </w:pPr>
      <w:r w:rsidRPr="003A2A2B">
        <w:rPr>
          <w:rFonts w:ascii="Arial Narrow" w:hAnsi="Arial Narrow"/>
          <w:color w:val="auto"/>
          <w:sz w:val="22"/>
          <w:szCs w:val="22"/>
        </w:rPr>
        <w:t>0</w:t>
      </w:r>
      <w:r w:rsidR="0014638D" w:rsidRPr="003A2A2B">
        <w:rPr>
          <w:rFonts w:ascii="Arial Narrow" w:hAnsi="Arial Narrow"/>
          <w:color w:val="auto"/>
          <w:sz w:val="22"/>
          <w:szCs w:val="22"/>
        </w:rPr>
        <w:t>.5</w:t>
      </w:r>
      <w:r w:rsidR="00816D1E" w:rsidRPr="003A2A2B">
        <w:rPr>
          <w:rFonts w:ascii="Arial Narrow" w:hAnsi="Arial Narrow"/>
          <w:color w:val="auto"/>
          <w:sz w:val="22"/>
          <w:szCs w:val="22"/>
        </w:rPr>
        <w:t xml:space="preserve"> FTE </w:t>
      </w:r>
      <w:r w:rsidR="007A7EC9" w:rsidRPr="003A2A2B">
        <w:rPr>
          <w:rFonts w:ascii="Arial Narrow" w:hAnsi="Arial Narrow"/>
          <w:color w:val="auto"/>
          <w:sz w:val="22"/>
          <w:szCs w:val="22"/>
        </w:rPr>
        <w:t>CMHSOC Local Youth Coordinator</w:t>
      </w:r>
      <w:r w:rsidR="00816D1E" w:rsidRPr="003A2A2B">
        <w:rPr>
          <w:rFonts w:ascii="Arial Narrow" w:hAnsi="Arial Narrow"/>
          <w:color w:val="auto"/>
          <w:sz w:val="22"/>
          <w:szCs w:val="22"/>
        </w:rPr>
        <w:t xml:space="preserve"> responsible for </w:t>
      </w:r>
    </w:p>
    <w:p w:rsidR="00816D1E" w:rsidRPr="003A2A2B" w:rsidRDefault="00816D1E" w:rsidP="00945B75">
      <w:pPr>
        <w:pStyle w:val="Heading3"/>
        <w:keepNext w:val="0"/>
        <w:keepLines w:val="0"/>
        <w:tabs>
          <w:tab w:val="left" w:pos="1260"/>
          <w:tab w:val="left" w:pos="1440"/>
        </w:tabs>
        <w:spacing w:before="120" w:after="120" w:line="240" w:lineRule="auto"/>
        <w:ind w:left="900"/>
        <w:rPr>
          <w:rFonts w:ascii="Arial Narrow" w:hAnsi="Arial Narrow"/>
          <w:i/>
          <w:color w:val="auto"/>
          <w:sz w:val="22"/>
          <w:szCs w:val="22"/>
        </w:rPr>
      </w:pPr>
      <w:r w:rsidRPr="003A2A2B">
        <w:rPr>
          <w:rFonts w:ascii="Arial Narrow" w:hAnsi="Arial Narrow"/>
          <w:color w:val="auto"/>
          <w:sz w:val="22"/>
          <w:szCs w:val="22"/>
        </w:rPr>
        <w:t xml:space="preserve">Outreach efforts, training, and mentoring </w:t>
      </w:r>
      <w:r w:rsidR="00271A12" w:rsidRPr="003A2A2B">
        <w:rPr>
          <w:rFonts w:ascii="Arial Narrow" w:hAnsi="Arial Narrow"/>
          <w:color w:val="auto"/>
          <w:sz w:val="22"/>
          <w:szCs w:val="22"/>
        </w:rPr>
        <w:t>to youth</w:t>
      </w:r>
      <w:r w:rsidRPr="003A2A2B">
        <w:rPr>
          <w:rFonts w:ascii="Arial Narrow" w:hAnsi="Arial Narrow"/>
          <w:color w:val="auto"/>
          <w:sz w:val="22"/>
          <w:szCs w:val="22"/>
        </w:rPr>
        <w:t xml:space="preserve"> with SED or SMI in project activities; and</w:t>
      </w:r>
    </w:p>
    <w:p w:rsidR="00B97018" w:rsidRDefault="00816D1E" w:rsidP="00B84571">
      <w:pPr>
        <w:pStyle w:val="Heading3"/>
        <w:keepNext w:val="0"/>
        <w:keepLines w:val="0"/>
        <w:tabs>
          <w:tab w:val="left" w:pos="1260"/>
          <w:tab w:val="left" w:pos="1440"/>
        </w:tabs>
        <w:spacing w:before="120" w:after="120" w:line="240" w:lineRule="auto"/>
        <w:ind w:left="900"/>
        <w:rPr>
          <w:rFonts w:ascii="Arial Narrow" w:hAnsi="Arial Narrow"/>
          <w:color w:val="auto"/>
          <w:sz w:val="22"/>
          <w:szCs w:val="22"/>
        </w:rPr>
      </w:pPr>
      <w:r w:rsidRPr="003A2A2B">
        <w:rPr>
          <w:rFonts w:ascii="Arial Narrow" w:hAnsi="Arial Narrow"/>
          <w:color w:val="auto"/>
          <w:sz w:val="22"/>
          <w:szCs w:val="22"/>
        </w:rPr>
        <w:t>Facilitating the development of formalized youth-based advocacy groups.</w:t>
      </w:r>
      <w:r w:rsidR="007A7EC9" w:rsidRPr="003A2A2B">
        <w:rPr>
          <w:rFonts w:ascii="Arial Narrow" w:hAnsi="Arial Narrow"/>
          <w:color w:val="auto"/>
          <w:sz w:val="22"/>
          <w:szCs w:val="22"/>
        </w:rPr>
        <w:t xml:space="preserve"> </w:t>
      </w:r>
    </w:p>
    <w:p w:rsidR="00117391" w:rsidRPr="00117391" w:rsidRDefault="00117391" w:rsidP="00117391"/>
    <w:p w:rsidR="0064018E" w:rsidRPr="003A2A2B" w:rsidRDefault="0064018E" w:rsidP="00945B75">
      <w:pPr>
        <w:pStyle w:val="Heading1"/>
        <w:keepNext w:val="0"/>
        <w:tabs>
          <w:tab w:val="left" w:pos="360"/>
        </w:tabs>
      </w:pPr>
      <w:r w:rsidRPr="003A2A2B">
        <w:t xml:space="preserve">The Wraparound Approach </w:t>
      </w:r>
    </w:p>
    <w:p w:rsidR="004127EC" w:rsidRPr="003A2A2B" w:rsidRDefault="0064018E" w:rsidP="00252BB3">
      <w:pPr>
        <w:spacing w:before="120" w:after="120" w:line="240" w:lineRule="auto"/>
        <w:rPr>
          <w:rStyle w:val="Hyperlink"/>
          <w:rFonts w:ascii="Arial Narrow" w:hAnsi="Arial Narrow"/>
        </w:rPr>
      </w:pPr>
      <w:r w:rsidRPr="003A2A2B">
        <w:rPr>
          <w:rFonts w:ascii="Arial Narrow" w:hAnsi="Arial Narrow"/>
        </w:rPr>
        <w:t xml:space="preserve">The Wraparound </w:t>
      </w:r>
      <w:r w:rsidR="00816D1E" w:rsidRPr="003A2A2B">
        <w:rPr>
          <w:rFonts w:ascii="Arial Narrow" w:hAnsi="Arial Narrow"/>
        </w:rPr>
        <w:t>A</w:t>
      </w:r>
      <w:r w:rsidR="00B311D2" w:rsidRPr="003A2A2B">
        <w:rPr>
          <w:rFonts w:ascii="Arial Narrow" w:hAnsi="Arial Narrow"/>
        </w:rPr>
        <w:t xml:space="preserve">pproach </w:t>
      </w:r>
      <w:r w:rsidRPr="003A2A2B">
        <w:rPr>
          <w:rFonts w:ascii="Arial Narrow" w:hAnsi="Arial Narrow"/>
        </w:rPr>
        <w:t xml:space="preserve">is a care coordination model </w:t>
      </w:r>
      <w:r w:rsidR="00B311D2" w:rsidRPr="003A2A2B">
        <w:rPr>
          <w:rFonts w:ascii="Arial Narrow" w:hAnsi="Arial Narrow"/>
        </w:rPr>
        <w:t xml:space="preserve">for </w:t>
      </w:r>
      <w:r w:rsidRPr="003A2A2B">
        <w:rPr>
          <w:rFonts w:ascii="Arial Narrow" w:hAnsi="Arial Narrow"/>
        </w:rPr>
        <w:t xml:space="preserve">children </w:t>
      </w:r>
      <w:r w:rsidR="00E64B2E" w:rsidRPr="003A2A2B">
        <w:rPr>
          <w:rFonts w:ascii="Arial Narrow" w:hAnsi="Arial Narrow"/>
        </w:rPr>
        <w:t>with complex nee</w:t>
      </w:r>
      <w:r w:rsidR="00775C41" w:rsidRPr="003A2A2B">
        <w:rPr>
          <w:rFonts w:ascii="Arial Narrow" w:hAnsi="Arial Narrow"/>
        </w:rPr>
        <w:t>ds associated with a SED</w:t>
      </w:r>
      <w:r w:rsidR="00E64B2E" w:rsidRPr="003A2A2B">
        <w:rPr>
          <w:rFonts w:ascii="Arial Narrow" w:hAnsi="Arial Narrow"/>
        </w:rPr>
        <w:t xml:space="preserve"> </w:t>
      </w:r>
      <w:r w:rsidRPr="003A2A2B">
        <w:rPr>
          <w:rFonts w:ascii="Arial Narrow" w:hAnsi="Arial Narrow"/>
        </w:rPr>
        <w:t>and their families</w:t>
      </w:r>
      <w:r w:rsidR="00E64B2E" w:rsidRPr="003A2A2B">
        <w:rPr>
          <w:rFonts w:ascii="Arial Narrow" w:hAnsi="Arial Narrow"/>
        </w:rPr>
        <w:t xml:space="preserve">. The approach involves an </w:t>
      </w:r>
      <w:r w:rsidRPr="003A2A2B">
        <w:rPr>
          <w:rFonts w:ascii="Arial Narrow" w:hAnsi="Arial Narrow"/>
        </w:rPr>
        <w:t>intensive, individualized care planning and management process</w:t>
      </w:r>
      <w:r w:rsidR="00E64B2E" w:rsidRPr="003A2A2B">
        <w:rPr>
          <w:rFonts w:ascii="Arial Narrow" w:hAnsi="Arial Narrow"/>
        </w:rPr>
        <w:t xml:space="preserve">, </w:t>
      </w:r>
      <w:r w:rsidRPr="003A2A2B">
        <w:rPr>
          <w:rFonts w:ascii="Arial Narrow" w:hAnsi="Arial Narrow"/>
        </w:rPr>
        <w:t xml:space="preserve">structured team meetings, </w:t>
      </w:r>
      <w:r w:rsidR="00A222B7" w:rsidRPr="003A2A2B">
        <w:rPr>
          <w:rFonts w:ascii="Arial Narrow" w:hAnsi="Arial Narrow"/>
        </w:rPr>
        <w:t>and the</w:t>
      </w:r>
      <w:r w:rsidR="00E923E6" w:rsidRPr="003A2A2B">
        <w:rPr>
          <w:rFonts w:ascii="Arial Narrow" w:hAnsi="Arial Narrow"/>
        </w:rPr>
        <w:t xml:space="preserve"> provision of community–based treatment and supports services dictated by the needs and </w:t>
      </w:r>
      <w:r w:rsidR="003228C1" w:rsidRPr="003A2A2B">
        <w:rPr>
          <w:rFonts w:ascii="Arial Narrow" w:hAnsi="Arial Narrow"/>
        </w:rPr>
        <w:t>preferences</w:t>
      </w:r>
      <w:r w:rsidR="00E923E6" w:rsidRPr="003A2A2B">
        <w:rPr>
          <w:rFonts w:ascii="Arial Narrow" w:hAnsi="Arial Narrow"/>
        </w:rPr>
        <w:t xml:space="preserve"> of the child and their family.</w:t>
      </w:r>
      <w:r w:rsidR="00D53290" w:rsidRPr="003A2A2B">
        <w:rPr>
          <w:rFonts w:ascii="Arial Narrow" w:hAnsi="Arial Narrow"/>
        </w:rPr>
        <w:t xml:space="preserve"> </w:t>
      </w:r>
      <w:r w:rsidR="007736AD" w:rsidRPr="003A2A2B">
        <w:rPr>
          <w:rFonts w:ascii="Arial Narrow" w:hAnsi="Arial Narrow"/>
        </w:rPr>
        <w:t xml:space="preserve">The ten basic </w:t>
      </w:r>
      <w:r w:rsidR="003228C1" w:rsidRPr="003A2A2B">
        <w:rPr>
          <w:rFonts w:ascii="Arial Narrow" w:hAnsi="Arial Narrow"/>
        </w:rPr>
        <w:t>principles</w:t>
      </w:r>
      <w:r w:rsidR="007736AD" w:rsidRPr="003A2A2B">
        <w:rPr>
          <w:rFonts w:ascii="Arial Narrow" w:hAnsi="Arial Narrow"/>
        </w:rPr>
        <w:t xml:space="preserve"> of Wraparound are available at:</w:t>
      </w:r>
      <w:r w:rsidR="00252BB3" w:rsidRPr="003A2A2B">
        <w:rPr>
          <w:rFonts w:ascii="Arial Narrow" w:hAnsi="Arial Narrow"/>
        </w:rPr>
        <w:t xml:space="preserve"> </w:t>
      </w:r>
      <w:hyperlink r:id="rId13" w:history="1">
        <w:r w:rsidR="00252BB3" w:rsidRPr="003A2A2B">
          <w:rPr>
            <w:rStyle w:val="Hyperlink"/>
            <w:rFonts w:ascii="Arial Narrow" w:hAnsi="Arial Narrow"/>
          </w:rPr>
          <w:t>http://nwi.pdx.edu/</w:t>
        </w:r>
      </w:hyperlink>
    </w:p>
    <w:p w:rsidR="0064018E" w:rsidRPr="003A2A2B" w:rsidRDefault="0064018E" w:rsidP="00945B75">
      <w:pPr>
        <w:pStyle w:val="Heading1"/>
        <w:keepNext w:val="0"/>
        <w:tabs>
          <w:tab w:val="left" w:pos="360"/>
        </w:tabs>
      </w:pPr>
      <w:r w:rsidRPr="003A2A2B">
        <w:t>Resources</w:t>
      </w:r>
    </w:p>
    <w:p w:rsidR="0064018E" w:rsidRPr="003A2A2B" w:rsidRDefault="00456721" w:rsidP="00945B75">
      <w:pPr>
        <w:spacing w:before="120" w:after="120" w:line="240" w:lineRule="auto"/>
        <w:rPr>
          <w:rFonts w:ascii="Arial Narrow" w:hAnsi="Arial Narrow"/>
        </w:rPr>
      </w:pPr>
      <w:r w:rsidRPr="003A2A2B">
        <w:rPr>
          <w:rFonts w:ascii="Arial Narrow" w:hAnsi="Arial Narrow"/>
        </w:rPr>
        <w:t xml:space="preserve">More information on the </w:t>
      </w:r>
      <w:r w:rsidR="0064018E" w:rsidRPr="003A2A2B">
        <w:rPr>
          <w:rFonts w:ascii="Arial Narrow" w:hAnsi="Arial Narrow"/>
        </w:rPr>
        <w:t xml:space="preserve">CMHSOC can be viewed at the following web sites: </w:t>
      </w:r>
    </w:p>
    <w:p w:rsidR="00873194" w:rsidRDefault="00357EFC" w:rsidP="00873194">
      <w:pPr>
        <w:pStyle w:val="Heading2"/>
        <w:keepNext w:val="0"/>
        <w:keepLines w:val="0"/>
        <w:tabs>
          <w:tab w:val="left" w:pos="900"/>
        </w:tabs>
        <w:spacing w:before="120" w:after="120" w:line="240" w:lineRule="auto"/>
        <w:ind w:left="446" w:right="-187"/>
        <w:contextualSpacing/>
        <w:rPr>
          <w:rFonts w:ascii="Arial Narrow" w:hAnsi="Arial Narrow"/>
          <w:color w:val="auto"/>
          <w:sz w:val="22"/>
          <w:szCs w:val="22"/>
        </w:rPr>
      </w:pPr>
      <w:r w:rsidRPr="00873194">
        <w:rPr>
          <w:rFonts w:ascii="Arial Narrow" w:hAnsi="Arial Narrow"/>
          <w:color w:val="auto"/>
          <w:sz w:val="22"/>
          <w:szCs w:val="22"/>
        </w:rPr>
        <w:t xml:space="preserve">Toolkit for Expanding the SOC Approach  </w:t>
      </w:r>
    </w:p>
    <w:p w:rsidR="004C1668" w:rsidRPr="00873194" w:rsidRDefault="00460EB3" w:rsidP="00873194">
      <w:pPr>
        <w:pStyle w:val="Heading2"/>
        <w:keepNext w:val="0"/>
        <w:keepLines w:val="0"/>
        <w:numPr>
          <w:ilvl w:val="0"/>
          <w:numId w:val="0"/>
        </w:numPr>
        <w:tabs>
          <w:tab w:val="left" w:pos="900"/>
        </w:tabs>
        <w:spacing w:before="120" w:after="120" w:line="240" w:lineRule="auto"/>
        <w:ind w:left="450" w:right="-180"/>
        <w:rPr>
          <w:rFonts w:ascii="Arial Narrow" w:hAnsi="Arial Narrow"/>
          <w:color w:val="auto"/>
          <w:sz w:val="22"/>
          <w:szCs w:val="22"/>
        </w:rPr>
      </w:pPr>
      <w:hyperlink r:id="rId14" w:history="1">
        <w:r w:rsidR="004C1668" w:rsidRPr="00873194">
          <w:rPr>
            <w:rStyle w:val="Hyperlink"/>
            <w:rFonts w:ascii="Arial Narrow" w:hAnsi="Arial Narrow"/>
            <w:sz w:val="22"/>
            <w:szCs w:val="22"/>
          </w:rPr>
          <w:t>https://gucchd.georgetown.edu/products/ToolkitSOC.html</w:t>
        </w:r>
      </w:hyperlink>
    </w:p>
    <w:p w:rsidR="004C1668" w:rsidRPr="00873194" w:rsidRDefault="008A58A1" w:rsidP="00873194">
      <w:pPr>
        <w:pStyle w:val="Heading2"/>
        <w:keepNext w:val="0"/>
        <w:keepLines w:val="0"/>
        <w:tabs>
          <w:tab w:val="left" w:pos="900"/>
        </w:tabs>
        <w:spacing w:before="120" w:after="120" w:line="240" w:lineRule="auto"/>
        <w:ind w:left="446" w:right="-187"/>
        <w:rPr>
          <w:rStyle w:val="Hyperlink"/>
          <w:rFonts w:ascii="Arial Narrow" w:hAnsi="Arial Narrow"/>
          <w:sz w:val="22"/>
          <w:szCs w:val="22"/>
        </w:rPr>
      </w:pPr>
      <w:r w:rsidRPr="00873194">
        <w:rPr>
          <w:rFonts w:ascii="Arial Narrow" w:hAnsi="Arial Narrow"/>
          <w:color w:val="auto"/>
          <w:sz w:val="22"/>
          <w:szCs w:val="22"/>
        </w:rPr>
        <w:t xml:space="preserve">The TA Network – The Natl. Technical Assistance Center for Children’s Behavioral </w:t>
      </w:r>
      <w:r w:rsidR="003228C1" w:rsidRPr="00873194">
        <w:rPr>
          <w:rFonts w:ascii="Arial Narrow" w:hAnsi="Arial Narrow"/>
          <w:color w:val="auto"/>
          <w:sz w:val="22"/>
          <w:szCs w:val="22"/>
        </w:rPr>
        <w:t>Health</w:t>
      </w:r>
      <w:r w:rsidRPr="00873194">
        <w:rPr>
          <w:rFonts w:ascii="Arial Narrow" w:hAnsi="Arial Narrow"/>
          <w:color w:val="auto"/>
          <w:sz w:val="22"/>
          <w:szCs w:val="22"/>
        </w:rPr>
        <w:t xml:space="preserve"> </w:t>
      </w:r>
      <w:hyperlink r:id="rId15" w:history="1">
        <w:r w:rsidRPr="00873194">
          <w:rPr>
            <w:rStyle w:val="Hyperlink"/>
            <w:rFonts w:ascii="Arial Narrow" w:hAnsi="Arial Narrow"/>
            <w:sz w:val="22"/>
            <w:szCs w:val="22"/>
          </w:rPr>
          <w:t>https://tanetwork.pro/index.cfm</w:t>
        </w:r>
      </w:hyperlink>
    </w:p>
    <w:p w:rsidR="008A58A1" w:rsidRPr="00873194" w:rsidRDefault="008A58A1" w:rsidP="00873194">
      <w:pPr>
        <w:pStyle w:val="Heading2"/>
        <w:keepNext w:val="0"/>
        <w:keepLines w:val="0"/>
        <w:tabs>
          <w:tab w:val="left" w:pos="900"/>
        </w:tabs>
        <w:spacing w:before="120" w:after="120" w:line="240" w:lineRule="auto"/>
        <w:ind w:left="446" w:right="-187"/>
        <w:rPr>
          <w:rStyle w:val="Hyperlink"/>
          <w:rFonts w:ascii="Arial Narrow" w:hAnsi="Arial Narrow"/>
          <w:color w:val="auto"/>
          <w:sz w:val="22"/>
          <w:szCs w:val="22"/>
          <w:u w:val="none"/>
        </w:rPr>
      </w:pPr>
      <w:r w:rsidRPr="00873194">
        <w:rPr>
          <w:rFonts w:ascii="Arial Narrow" w:hAnsi="Arial Narrow"/>
          <w:color w:val="auto"/>
          <w:sz w:val="22"/>
          <w:szCs w:val="22"/>
        </w:rPr>
        <w:t xml:space="preserve">Systems </w:t>
      </w:r>
      <w:r w:rsidR="00DB1B3B" w:rsidRPr="00873194">
        <w:rPr>
          <w:rFonts w:ascii="Arial Narrow" w:hAnsi="Arial Narrow"/>
          <w:color w:val="auto"/>
          <w:sz w:val="22"/>
          <w:szCs w:val="22"/>
        </w:rPr>
        <w:t>of Care</w:t>
      </w:r>
      <w:r w:rsidR="00252BB3" w:rsidRPr="00873194">
        <w:rPr>
          <w:rFonts w:ascii="Arial Narrow" w:hAnsi="Arial Narrow"/>
          <w:color w:val="auto"/>
          <w:sz w:val="22"/>
          <w:szCs w:val="22"/>
        </w:rPr>
        <w:t xml:space="preserve"> - </w:t>
      </w:r>
      <w:r w:rsidR="00DB1B3B" w:rsidRPr="00873194">
        <w:rPr>
          <w:rFonts w:ascii="Arial Narrow" w:hAnsi="Arial Narrow"/>
          <w:color w:val="auto"/>
          <w:sz w:val="22"/>
          <w:szCs w:val="22"/>
        </w:rPr>
        <w:t xml:space="preserve"> A Fra</w:t>
      </w:r>
      <w:r w:rsidRPr="00873194">
        <w:rPr>
          <w:rFonts w:ascii="Arial Narrow" w:hAnsi="Arial Narrow"/>
          <w:color w:val="auto"/>
          <w:sz w:val="22"/>
          <w:szCs w:val="22"/>
        </w:rPr>
        <w:t xml:space="preserve">mework for Systems Reform in Children’s Mental Health </w:t>
      </w:r>
      <w:hyperlink r:id="rId16" w:history="1">
        <w:r w:rsidRPr="00873194">
          <w:rPr>
            <w:rStyle w:val="Hyperlink"/>
            <w:rFonts w:ascii="Arial Narrow" w:hAnsi="Arial Narrow"/>
            <w:sz w:val="22"/>
            <w:szCs w:val="22"/>
          </w:rPr>
          <w:t>https://gucchd.georgetown.edu/products/SOCIssueBrief.pdf</w:t>
        </w:r>
      </w:hyperlink>
    </w:p>
    <w:p w:rsidR="00271A12" w:rsidRPr="00873194" w:rsidRDefault="004C1668" w:rsidP="00873194">
      <w:pPr>
        <w:pStyle w:val="Heading2"/>
        <w:keepNext w:val="0"/>
        <w:keepLines w:val="0"/>
        <w:tabs>
          <w:tab w:val="left" w:pos="900"/>
        </w:tabs>
        <w:spacing w:before="120" w:after="120" w:line="240" w:lineRule="auto"/>
        <w:ind w:left="446" w:right="-187"/>
        <w:rPr>
          <w:rFonts w:ascii="Arial Narrow" w:hAnsi="Arial Narrow"/>
          <w:color w:val="auto"/>
          <w:sz w:val="22"/>
          <w:szCs w:val="22"/>
        </w:rPr>
      </w:pPr>
      <w:r w:rsidRPr="00873194">
        <w:rPr>
          <w:rFonts w:ascii="Arial Narrow" w:hAnsi="Arial Narrow"/>
          <w:color w:val="auto"/>
          <w:sz w:val="22"/>
          <w:szCs w:val="22"/>
        </w:rPr>
        <w:t>4</w:t>
      </w:r>
      <w:r w:rsidR="003228C1" w:rsidRPr="00873194">
        <w:rPr>
          <w:rFonts w:ascii="Arial Narrow" w:hAnsi="Arial Narrow"/>
          <w:color w:val="auto"/>
          <w:sz w:val="22"/>
          <w:szCs w:val="22"/>
        </w:rPr>
        <w:t xml:space="preserve">. SAMHSA’s 2015 Children’s Mental Health Initiative Report to Congress  </w:t>
      </w:r>
      <w:hyperlink r:id="rId17" w:history="1">
        <w:r w:rsidRPr="00873194">
          <w:rPr>
            <w:rStyle w:val="Hyperlink"/>
            <w:rFonts w:ascii="Arial Narrow" w:hAnsi="Arial Narrow"/>
            <w:sz w:val="22"/>
            <w:szCs w:val="22"/>
          </w:rPr>
          <w:t>https://www.samhsa.gov/sites/default/files/programs_campaigns/nitt-ta/2015-report-to-congress.pdf</w:t>
        </w:r>
      </w:hyperlink>
    </w:p>
    <w:p w:rsidR="0075030B" w:rsidRDefault="00E82474" w:rsidP="0075030B">
      <w:pPr>
        <w:pStyle w:val="Heading2"/>
        <w:keepNext w:val="0"/>
        <w:keepLines w:val="0"/>
        <w:tabs>
          <w:tab w:val="left" w:pos="900"/>
        </w:tabs>
        <w:spacing w:before="120" w:after="120" w:line="240" w:lineRule="auto"/>
        <w:ind w:left="446" w:right="-187"/>
        <w:contextualSpacing/>
        <w:rPr>
          <w:rFonts w:ascii="Arial Narrow" w:hAnsi="Arial Narrow"/>
          <w:color w:val="auto"/>
          <w:sz w:val="22"/>
          <w:szCs w:val="22"/>
        </w:rPr>
      </w:pPr>
      <w:r w:rsidRPr="00873194">
        <w:rPr>
          <w:rFonts w:ascii="Arial Narrow" w:hAnsi="Arial Narrow"/>
          <w:color w:val="auto"/>
          <w:sz w:val="22"/>
          <w:szCs w:val="22"/>
        </w:rPr>
        <w:t xml:space="preserve">University of Maryland School of Social Work – The </w:t>
      </w:r>
      <w:r w:rsidR="00A222B7" w:rsidRPr="00873194">
        <w:rPr>
          <w:rFonts w:ascii="Arial Narrow" w:hAnsi="Arial Narrow"/>
          <w:color w:val="auto"/>
          <w:sz w:val="22"/>
          <w:szCs w:val="22"/>
        </w:rPr>
        <w:t>Institute</w:t>
      </w:r>
      <w:r w:rsidRPr="00873194">
        <w:rPr>
          <w:rFonts w:ascii="Arial Narrow" w:hAnsi="Arial Narrow"/>
          <w:color w:val="auto"/>
          <w:sz w:val="22"/>
          <w:szCs w:val="22"/>
        </w:rPr>
        <w:t xml:space="preserve"> for Innovation and Implementation</w:t>
      </w:r>
    </w:p>
    <w:p w:rsidR="00E82474" w:rsidRPr="0075030B" w:rsidRDefault="00460EB3" w:rsidP="0075030B">
      <w:pPr>
        <w:pStyle w:val="Heading2"/>
        <w:keepNext w:val="0"/>
        <w:keepLines w:val="0"/>
        <w:numPr>
          <w:ilvl w:val="0"/>
          <w:numId w:val="0"/>
        </w:numPr>
        <w:tabs>
          <w:tab w:val="left" w:pos="900"/>
        </w:tabs>
        <w:spacing w:before="120" w:after="120" w:line="240" w:lineRule="auto"/>
        <w:ind w:left="446" w:right="-187"/>
        <w:contextualSpacing/>
        <w:rPr>
          <w:rFonts w:ascii="Arial Narrow" w:hAnsi="Arial Narrow"/>
          <w:color w:val="auto"/>
          <w:sz w:val="22"/>
          <w:szCs w:val="22"/>
        </w:rPr>
      </w:pPr>
      <w:hyperlink r:id="rId18" w:history="1">
        <w:r w:rsidR="00E82474" w:rsidRPr="0075030B">
          <w:rPr>
            <w:rStyle w:val="Hyperlink"/>
            <w:rFonts w:ascii="Arial Narrow" w:hAnsi="Arial Narrow"/>
            <w:sz w:val="22"/>
            <w:szCs w:val="22"/>
          </w:rPr>
          <w:t>https://theinstitute.umaryland.edu/</w:t>
        </w:r>
      </w:hyperlink>
    </w:p>
    <w:p w:rsidR="00E82474" w:rsidRPr="003A2A2B" w:rsidRDefault="00E82474" w:rsidP="00271A12">
      <w:pPr>
        <w:pStyle w:val="ListParagraph"/>
        <w:spacing w:before="120" w:after="120" w:line="240" w:lineRule="auto"/>
        <w:contextualSpacing w:val="0"/>
        <w:rPr>
          <w:rFonts w:ascii="Arial Narrow" w:hAnsi="Arial Narrow"/>
        </w:rPr>
      </w:pPr>
    </w:p>
    <w:sectPr w:rsidR="00E82474" w:rsidRPr="003A2A2B" w:rsidSect="0078009E">
      <w:headerReference w:type="default" r:id="rId19"/>
      <w:footerReference w:type="default" r:id="rId20"/>
      <w:headerReference w:type="first" r:id="rId21"/>
      <w:footerReference w:type="first" r:id="rId22"/>
      <w:pgSz w:w="12240" w:h="15840"/>
      <w:pgMar w:top="1440" w:right="1440" w:bottom="1440" w:left="1440" w:header="720" w:footer="3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5D" w:rsidRDefault="00800E5D" w:rsidP="0064018E">
      <w:pPr>
        <w:spacing w:after="0" w:line="240" w:lineRule="auto"/>
      </w:pPr>
      <w:r>
        <w:separator/>
      </w:r>
    </w:p>
  </w:endnote>
  <w:endnote w:type="continuationSeparator" w:id="0">
    <w:p w:rsidR="00800E5D" w:rsidRDefault="00800E5D" w:rsidP="0064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479303659"/>
      <w:docPartObj>
        <w:docPartGallery w:val="Page Numbers (Bottom of Page)"/>
        <w:docPartUnique/>
      </w:docPartObj>
    </w:sdtPr>
    <w:sdtEndPr>
      <w:rPr>
        <w:noProof/>
      </w:rPr>
    </w:sdtEndPr>
    <w:sdtContent>
      <w:p w:rsidR="0078009E" w:rsidRPr="0078009E" w:rsidRDefault="0078009E">
        <w:pPr>
          <w:pStyle w:val="Footer"/>
          <w:jc w:val="center"/>
          <w:rPr>
            <w:rFonts w:ascii="Arial Narrow" w:hAnsi="Arial Narrow"/>
            <w:sz w:val="20"/>
            <w:szCs w:val="20"/>
          </w:rPr>
        </w:pPr>
        <w:r w:rsidRPr="0078009E">
          <w:rPr>
            <w:rFonts w:ascii="Arial Narrow" w:hAnsi="Arial Narrow"/>
            <w:sz w:val="20"/>
            <w:szCs w:val="20"/>
          </w:rPr>
          <w:fldChar w:fldCharType="begin"/>
        </w:r>
        <w:r w:rsidRPr="0078009E">
          <w:rPr>
            <w:rFonts w:ascii="Arial Narrow" w:hAnsi="Arial Narrow"/>
            <w:sz w:val="20"/>
            <w:szCs w:val="20"/>
          </w:rPr>
          <w:instrText xml:space="preserve"> PAGE   \* MERGEFORMAT </w:instrText>
        </w:r>
        <w:r w:rsidRPr="0078009E">
          <w:rPr>
            <w:rFonts w:ascii="Arial Narrow" w:hAnsi="Arial Narrow"/>
            <w:sz w:val="20"/>
            <w:szCs w:val="20"/>
          </w:rPr>
          <w:fldChar w:fldCharType="separate"/>
        </w:r>
        <w:r w:rsidR="00460EB3">
          <w:rPr>
            <w:rFonts w:ascii="Arial Narrow" w:hAnsi="Arial Narrow"/>
            <w:noProof/>
            <w:sz w:val="20"/>
            <w:szCs w:val="20"/>
          </w:rPr>
          <w:t>2</w:t>
        </w:r>
        <w:r w:rsidRPr="0078009E">
          <w:rPr>
            <w:rFonts w:ascii="Arial Narrow" w:hAnsi="Arial Narrow"/>
            <w:noProof/>
            <w:sz w:val="20"/>
            <w:szCs w:val="20"/>
          </w:rPr>
          <w:fldChar w:fldCharType="end"/>
        </w:r>
      </w:p>
    </w:sdtContent>
  </w:sdt>
  <w:p w:rsidR="0063683F" w:rsidRPr="0078009E" w:rsidRDefault="00460EB3" w:rsidP="0078009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596009765"/>
      <w:docPartObj>
        <w:docPartGallery w:val="Page Numbers (Bottom of Page)"/>
        <w:docPartUnique/>
      </w:docPartObj>
    </w:sdtPr>
    <w:sdtEndPr>
      <w:rPr>
        <w:noProof/>
      </w:rPr>
    </w:sdtEndPr>
    <w:sdtContent>
      <w:p w:rsidR="0078009E" w:rsidRPr="0078009E" w:rsidRDefault="0078009E" w:rsidP="0078009E">
        <w:pPr>
          <w:pStyle w:val="Footer"/>
          <w:ind w:firstLine="4680"/>
          <w:jc w:val="center"/>
          <w:rPr>
            <w:rFonts w:ascii="Arial Narrow" w:hAnsi="Arial Narrow"/>
            <w:sz w:val="20"/>
            <w:szCs w:val="20"/>
          </w:rPr>
        </w:pPr>
        <w:r w:rsidRPr="0078009E">
          <w:rPr>
            <w:rFonts w:ascii="Arial Narrow" w:hAnsi="Arial Narrow"/>
            <w:sz w:val="20"/>
            <w:szCs w:val="20"/>
          </w:rPr>
          <w:fldChar w:fldCharType="begin"/>
        </w:r>
        <w:r w:rsidRPr="0078009E">
          <w:rPr>
            <w:rFonts w:ascii="Arial Narrow" w:hAnsi="Arial Narrow"/>
            <w:sz w:val="20"/>
            <w:szCs w:val="20"/>
          </w:rPr>
          <w:instrText xml:space="preserve"> PAGE   \* MERGEFORMAT </w:instrText>
        </w:r>
        <w:r w:rsidRPr="0078009E">
          <w:rPr>
            <w:rFonts w:ascii="Arial Narrow" w:hAnsi="Arial Narrow"/>
            <w:sz w:val="20"/>
            <w:szCs w:val="20"/>
          </w:rPr>
          <w:fldChar w:fldCharType="separate"/>
        </w:r>
        <w:r w:rsidR="00460EB3">
          <w:rPr>
            <w:rFonts w:ascii="Arial Narrow" w:hAnsi="Arial Narrow"/>
            <w:noProof/>
            <w:sz w:val="20"/>
            <w:szCs w:val="20"/>
          </w:rPr>
          <w:t>1</w:t>
        </w:r>
        <w:r w:rsidRPr="0078009E">
          <w:rPr>
            <w:rFonts w:ascii="Arial Narrow" w:hAnsi="Arial Narrow"/>
            <w:noProof/>
            <w:sz w:val="20"/>
            <w:szCs w:val="20"/>
          </w:rPr>
          <w:fldChar w:fldCharType="end"/>
        </w:r>
        <w:r>
          <w:rPr>
            <w:rFonts w:ascii="Arial Narrow" w:hAnsi="Arial Narrow"/>
            <w:noProof/>
            <w:sz w:val="20"/>
            <w:szCs w:val="20"/>
          </w:rPr>
          <w:tab/>
          <w:t xml:space="preserve">Effective: </w:t>
        </w:r>
        <w:r w:rsidR="003A2A2B">
          <w:rPr>
            <w:rFonts w:ascii="Arial Narrow" w:hAnsi="Arial Narrow"/>
            <w:noProof/>
            <w:sz w:val="20"/>
            <w:szCs w:val="20"/>
          </w:rPr>
          <w:t>July 1, 2017</w:t>
        </w:r>
      </w:p>
    </w:sdtContent>
  </w:sdt>
  <w:p w:rsidR="0078009E" w:rsidRDefault="0078009E" w:rsidP="007800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5D" w:rsidRDefault="00800E5D" w:rsidP="0064018E">
      <w:pPr>
        <w:spacing w:after="0" w:line="240" w:lineRule="auto"/>
      </w:pPr>
      <w:r>
        <w:separator/>
      </w:r>
    </w:p>
  </w:footnote>
  <w:footnote w:type="continuationSeparator" w:id="0">
    <w:p w:rsidR="00800E5D" w:rsidRDefault="00800E5D" w:rsidP="0064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79" w:rsidRDefault="00221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3F" w:rsidRDefault="0078009E" w:rsidP="0078009E">
    <w:pPr>
      <w:pBdr>
        <w:bottom w:val="single" w:sz="4" w:space="1" w:color="auto"/>
      </w:pBdr>
      <w:tabs>
        <w:tab w:val="center" w:pos="4320"/>
        <w:tab w:val="left" w:pos="5676"/>
      </w:tabs>
      <w:spacing w:after="0" w:line="240" w:lineRule="auto"/>
    </w:pPr>
    <w:r w:rsidRPr="00056B0F">
      <w:rPr>
        <w:rFonts w:ascii="Arial Narrow" w:eastAsia="Times New Roman" w:hAnsi="Arial Narrow" w:cs="Times New Roman"/>
        <w:b/>
        <w:bCs/>
        <w:noProof/>
      </w:rPr>
      <w:drawing>
        <wp:anchor distT="0" distB="0" distL="114300" distR="114300" simplePos="0" relativeHeight="251657216" behindDoc="1" locked="0" layoutInCell="1" allowOverlap="1" wp14:anchorId="468715A1" wp14:editId="4755A092">
          <wp:simplePos x="0" y="0"/>
          <wp:positionH relativeFrom="column">
            <wp:posOffset>3909060</wp:posOffset>
          </wp:positionH>
          <wp:positionV relativeFrom="paragraph">
            <wp:posOffset>-144780</wp:posOffset>
          </wp:positionV>
          <wp:extent cx="1905000" cy="502920"/>
          <wp:effectExtent l="0" t="0" r="0" b="0"/>
          <wp:wrapNone/>
          <wp:docPr id="10" name="Picture 10"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056B0F">
      <w:rPr>
        <w:rFonts w:ascii="Arial Narrow" w:eastAsia="Times New Roman" w:hAnsi="Arial Narrow" w:cs="Arial"/>
        <w:sz w:val="24"/>
        <w:szCs w:val="24"/>
      </w:rPr>
      <w:t xml:space="preserve">Program Guidance for Managing Entity Contracts </w:t>
    </w:r>
    <w:r>
      <w:rPr>
        <w:rFonts w:ascii="Arial Narrow" w:eastAsia="Times New Roman" w:hAnsi="Arial Narrow" w:cs="Arial"/>
        <w:sz w:val="24"/>
        <w:szCs w:val="24"/>
      </w:rPr>
      <w:tab/>
    </w:r>
    <w:r w:rsidRPr="00056B0F">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5A737E"/>
    <w:lvl w:ilvl="0">
      <w:start w:val="1"/>
      <w:numFmt w:val="bullet"/>
      <w:pStyle w:val="ListBullet"/>
      <w:lvlText w:val=""/>
      <w:lvlJc w:val="left"/>
      <w:pPr>
        <w:tabs>
          <w:tab w:val="num" w:pos="1350"/>
        </w:tabs>
        <w:ind w:left="1350" w:hanging="360"/>
      </w:pPr>
      <w:rPr>
        <w:rFonts w:ascii="Symbol" w:hAnsi="Symbol" w:hint="default"/>
      </w:rPr>
    </w:lvl>
  </w:abstractNum>
  <w:abstractNum w:abstractNumId="1" w15:restartNumberingAfterBreak="0">
    <w:nsid w:val="10E67AA1"/>
    <w:multiLevelType w:val="multilevel"/>
    <w:tmpl w:val="6FF229A6"/>
    <w:lvl w:ilvl="0">
      <w:start w:val="1"/>
      <w:numFmt w:val="upperRoman"/>
      <w:lvlText w:val="%1."/>
      <w:lvlJc w:val="left"/>
      <w:pPr>
        <w:ind w:left="0" w:firstLine="0"/>
      </w:pPr>
    </w:lvl>
    <w:lvl w:ilvl="1">
      <w:start w:val="1"/>
      <w:numFmt w:val="upperLetter"/>
      <w:lvlText w:val="%2."/>
      <w:lvlJc w:val="left"/>
      <w:pPr>
        <w:ind w:left="630" w:firstLine="0"/>
      </w:pPr>
      <w:rPr>
        <w:rFonts w:ascii="Arial Narrow" w:hAnsi="Arial Narrow" w:hint="default"/>
        <w:b/>
        <w:color w:val="auto"/>
        <w:sz w:val="22"/>
        <w:szCs w:val="22"/>
      </w:rPr>
    </w:lvl>
    <w:lvl w:ilvl="2">
      <w:start w:val="1"/>
      <w:numFmt w:val="decimal"/>
      <w:lvlText w:val="%3."/>
      <w:lvlJc w:val="left"/>
      <w:pPr>
        <w:ind w:left="1260" w:firstLine="0"/>
      </w:pPr>
      <w:rPr>
        <w:rFonts w:ascii="Arial Narrow" w:hAnsi="Arial Narrow" w:hint="default"/>
        <w:b/>
        <w:i w:val="0"/>
        <w:color w:val="auto"/>
        <w:sz w:val="22"/>
        <w:szCs w:val="22"/>
      </w:rPr>
    </w:lvl>
    <w:lvl w:ilvl="3">
      <w:start w:val="1"/>
      <w:numFmt w:val="lowerLetter"/>
      <w:lvlText w:val="%4."/>
      <w:lvlJc w:val="left"/>
      <w:pPr>
        <w:ind w:left="1350" w:firstLine="0"/>
      </w:pPr>
      <w:rPr>
        <w:b/>
        <w:i w:val="0"/>
        <w:color w:val="auto"/>
      </w:rPr>
    </w:lvl>
    <w:lvl w:ilvl="4">
      <w:start w:val="1"/>
      <w:numFmt w:val="decimal"/>
      <w:lvlText w:val="(%5)"/>
      <w:lvlJc w:val="left"/>
      <w:pPr>
        <w:ind w:left="2880" w:firstLine="0"/>
      </w:pPr>
      <w:rPr>
        <w:b/>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DBB385D"/>
    <w:multiLevelType w:val="multilevel"/>
    <w:tmpl w:val="6FF229A6"/>
    <w:lvl w:ilvl="0">
      <w:start w:val="1"/>
      <w:numFmt w:val="upperRoman"/>
      <w:lvlText w:val="%1."/>
      <w:lvlJc w:val="left"/>
      <w:pPr>
        <w:ind w:left="0" w:firstLine="0"/>
      </w:pPr>
    </w:lvl>
    <w:lvl w:ilvl="1">
      <w:start w:val="1"/>
      <w:numFmt w:val="upperLetter"/>
      <w:lvlText w:val="%2."/>
      <w:lvlJc w:val="left"/>
      <w:pPr>
        <w:ind w:left="630" w:firstLine="0"/>
      </w:pPr>
      <w:rPr>
        <w:rFonts w:ascii="Arial Narrow" w:hAnsi="Arial Narrow" w:hint="default"/>
        <w:b/>
        <w:color w:val="auto"/>
        <w:sz w:val="22"/>
        <w:szCs w:val="22"/>
      </w:rPr>
    </w:lvl>
    <w:lvl w:ilvl="2">
      <w:start w:val="1"/>
      <w:numFmt w:val="decimal"/>
      <w:lvlText w:val="%3."/>
      <w:lvlJc w:val="left"/>
      <w:pPr>
        <w:ind w:left="1260" w:firstLine="0"/>
      </w:pPr>
      <w:rPr>
        <w:rFonts w:ascii="Arial Narrow" w:hAnsi="Arial Narrow" w:hint="default"/>
        <w:b/>
        <w:i w:val="0"/>
        <w:color w:val="auto"/>
        <w:sz w:val="22"/>
        <w:szCs w:val="22"/>
      </w:rPr>
    </w:lvl>
    <w:lvl w:ilvl="3">
      <w:start w:val="1"/>
      <w:numFmt w:val="lowerLetter"/>
      <w:lvlText w:val="%4."/>
      <w:lvlJc w:val="left"/>
      <w:pPr>
        <w:ind w:left="1350" w:firstLine="0"/>
      </w:pPr>
      <w:rPr>
        <w:b/>
        <w:i w:val="0"/>
        <w:color w:val="auto"/>
      </w:rPr>
    </w:lvl>
    <w:lvl w:ilvl="4">
      <w:start w:val="1"/>
      <w:numFmt w:val="decimal"/>
      <w:lvlText w:val="(%5)"/>
      <w:lvlJc w:val="left"/>
      <w:pPr>
        <w:ind w:left="2880" w:firstLine="0"/>
      </w:pPr>
      <w:rPr>
        <w:b/>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4C84BBD"/>
    <w:multiLevelType w:val="hybridMultilevel"/>
    <w:tmpl w:val="27A684FA"/>
    <w:lvl w:ilvl="0" w:tplc="12EA0420">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6E310C"/>
    <w:multiLevelType w:val="multilevel"/>
    <w:tmpl w:val="1F9AB350"/>
    <w:lvl w:ilvl="0">
      <w:start w:val="1"/>
      <w:numFmt w:val="upperRoman"/>
      <w:pStyle w:val="Heading1"/>
      <w:lvlText w:val="%1."/>
      <w:lvlJc w:val="left"/>
      <w:pPr>
        <w:ind w:left="0" w:firstLine="0"/>
      </w:pPr>
    </w:lvl>
    <w:lvl w:ilvl="1">
      <w:start w:val="1"/>
      <w:numFmt w:val="upperLetter"/>
      <w:pStyle w:val="Heading2"/>
      <w:lvlText w:val="%2."/>
      <w:lvlJc w:val="left"/>
      <w:pPr>
        <w:ind w:left="630" w:firstLine="0"/>
      </w:pPr>
      <w:rPr>
        <w:rFonts w:ascii="Arial Narrow" w:hAnsi="Arial Narrow" w:hint="default"/>
        <w:b/>
        <w:color w:val="auto"/>
        <w:sz w:val="22"/>
        <w:szCs w:val="22"/>
      </w:rPr>
    </w:lvl>
    <w:lvl w:ilvl="2">
      <w:start w:val="1"/>
      <w:numFmt w:val="decimal"/>
      <w:pStyle w:val="Heading3"/>
      <w:lvlText w:val="%3."/>
      <w:lvlJc w:val="left"/>
      <w:pPr>
        <w:ind w:left="1260" w:firstLine="0"/>
      </w:pPr>
      <w:rPr>
        <w:rFonts w:ascii="Arial Narrow" w:hAnsi="Arial Narrow" w:hint="default"/>
        <w:b/>
        <w:i w:val="0"/>
        <w:color w:val="auto"/>
        <w:sz w:val="22"/>
        <w:szCs w:val="22"/>
      </w:rPr>
    </w:lvl>
    <w:lvl w:ilvl="3">
      <w:start w:val="1"/>
      <w:numFmt w:val="decimal"/>
      <w:pStyle w:val="Heading4"/>
      <w:lvlText w:val="%4."/>
      <w:lvlJc w:val="left"/>
      <w:pPr>
        <w:ind w:left="1350" w:firstLine="0"/>
      </w:pPr>
      <w:rPr>
        <w:b/>
        <w:i w:val="0"/>
        <w:color w:val="auto"/>
      </w:rPr>
    </w:lvl>
    <w:lvl w:ilvl="4">
      <w:start w:val="1"/>
      <w:numFmt w:val="decimal"/>
      <w:pStyle w:val="Heading5"/>
      <w:lvlText w:val="(%5)"/>
      <w:lvlJc w:val="left"/>
      <w:pPr>
        <w:ind w:left="2880" w:firstLine="0"/>
      </w:pPr>
      <w:rPr>
        <w:b/>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5CE44F7D"/>
    <w:multiLevelType w:val="hybridMultilevel"/>
    <w:tmpl w:val="27A684FA"/>
    <w:lvl w:ilvl="0" w:tplc="12EA0420">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C19CD"/>
    <w:multiLevelType w:val="multilevel"/>
    <w:tmpl w:val="6FF229A6"/>
    <w:lvl w:ilvl="0">
      <w:start w:val="1"/>
      <w:numFmt w:val="upperRoman"/>
      <w:lvlText w:val="%1."/>
      <w:lvlJc w:val="left"/>
      <w:pPr>
        <w:ind w:left="0" w:firstLine="0"/>
      </w:pPr>
    </w:lvl>
    <w:lvl w:ilvl="1">
      <w:start w:val="1"/>
      <w:numFmt w:val="upperLetter"/>
      <w:lvlText w:val="%2."/>
      <w:lvlJc w:val="left"/>
      <w:pPr>
        <w:ind w:left="630" w:firstLine="0"/>
      </w:pPr>
      <w:rPr>
        <w:rFonts w:ascii="Arial Narrow" w:hAnsi="Arial Narrow" w:hint="default"/>
        <w:b/>
        <w:color w:val="auto"/>
        <w:sz w:val="22"/>
        <w:szCs w:val="22"/>
      </w:rPr>
    </w:lvl>
    <w:lvl w:ilvl="2">
      <w:start w:val="1"/>
      <w:numFmt w:val="decimal"/>
      <w:lvlText w:val="%3."/>
      <w:lvlJc w:val="left"/>
      <w:pPr>
        <w:ind w:left="1260" w:firstLine="0"/>
      </w:pPr>
      <w:rPr>
        <w:rFonts w:ascii="Arial Narrow" w:hAnsi="Arial Narrow" w:hint="default"/>
        <w:b/>
        <w:i w:val="0"/>
        <w:color w:val="auto"/>
        <w:sz w:val="22"/>
        <w:szCs w:val="22"/>
      </w:rPr>
    </w:lvl>
    <w:lvl w:ilvl="3">
      <w:start w:val="1"/>
      <w:numFmt w:val="lowerLetter"/>
      <w:lvlText w:val="%4."/>
      <w:lvlJc w:val="left"/>
      <w:pPr>
        <w:ind w:left="1350" w:firstLine="0"/>
      </w:pPr>
      <w:rPr>
        <w:b/>
        <w:i w:val="0"/>
        <w:color w:val="auto"/>
      </w:rPr>
    </w:lvl>
    <w:lvl w:ilvl="4">
      <w:start w:val="1"/>
      <w:numFmt w:val="decimal"/>
      <w:lvlText w:val="(%5)"/>
      <w:lvlJc w:val="left"/>
      <w:pPr>
        <w:ind w:left="2880" w:firstLine="0"/>
      </w:pPr>
      <w:rPr>
        <w:b/>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8E"/>
    <w:rsid w:val="00004756"/>
    <w:rsid w:val="00030665"/>
    <w:rsid w:val="00070854"/>
    <w:rsid w:val="0007208C"/>
    <w:rsid w:val="0008284E"/>
    <w:rsid w:val="00096AF4"/>
    <w:rsid w:val="000A168F"/>
    <w:rsid w:val="000B1AF6"/>
    <w:rsid w:val="000C0C87"/>
    <w:rsid w:val="000D2FB4"/>
    <w:rsid w:val="000E1C70"/>
    <w:rsid w:val="00104EFD"/>
    <w:rsid w:val="00112428"/>
    <w:rsid w:val="00117391"/>
    <w:rsid w:val="00124D4D"/>
    <w:rsid w:val="00143C7F"/>
    <w:rsid w:val="0014638D"/>
    <w:rsid w:val="00163AC1"/>
    <w:rsid w:val="0017095F"/>
    <w:rsid w:val="00173772"/>
    <w:rsid w:val="001830D2"/>
    <w:rsid w:val="0018479D"/>
    <w:rsid w:val="001B262E"/>
    <w:rsid w:val="001D65F3"/>
    <w:rsid w:val="001F78B5"/>
    <w:rsid w:val="00201958"/>
    <w:rsid w:val="00211E68"/>
    <w:rsid w:val="00221579"/>
    <w:rsid w:val="0023302D"/>
    <w:rsid w:val="00252BB3"/>
    <w:rsid w:val="002533F1"/>
    <w:rsid w:val="002568FA"/>
    <w:rsid w:val="00257463"/>
    <w:rsid w:val="00271A12"/>
    <w:rsid w:val="0027271C"/>
    <w:rsid w:val="0028118A"/>
    <w:rsid w:val="0028499A"/>
    <w:rsid w:val="002A2372"/>
    <w:rsid w:val="002B5E5B"/>
    <w:rsid w:val="0032188D"/>
    <w:rsid w:val="003228C1"/>
    <w:rsid w:val="0034247C"/>
    <w:rsid w:val="00342B56"/>
    <w:rsid w:val="003450E2"/>
    <w:rsid w:val="00346E01"/>
    <w:rsid w:val="00352B3D"/>
    <w:rsid w:val="00357EFC"/>
    <w:rsid w:val="00364F71"/>
    <w:rsid w:val="00366AE9"/>
    <w:rsid w:val="003714D1"/>
    <w:rsid w:val="00392199"/>
    <w:rsid w:val="00395189"/>
    <w:rsid w:val="003A0814"/>
    <w:rsid w:val="003A2A2B"/>
    <w:rsid w:val="004127EC"/>
    <w:rsid w:val="004174CF"/>
    <w:rsid w:val="00420002"/>
    <w:rsid w:val="00450BB0"/>
    <w:rsid w:val="00451D27"/>
    <w:rsid w:val="004562BB"/>
    <w:rsid w:val="00456721"/>
    <w:rsid w:val="00460EB3"/>
    <w:rsid w:val="00465378"/>
    <w:rsid w:val="004772ED"/>
    <w:rsid w:val="00480B05"/>
    <w:rsid w:val="00487875"/>
    <w:rsid w:val="004C1668"/>
    <w:rsid w:val="004C34B3"/>
    <w:rsid w:val="004C5A86"/>
    <w:rsid w:val="004C60D7"/>
    <w:rsid w:val="004E6C20"/>
    <w:rsid w:val="00500B09"/>
    <w:rsid w:val="00502B41"/>
    <w:rsid w:val="005072DA"/>
    <w:rsid w:val="00517953"/>
    <w:rsid w:val="0053341C"/>
    <w:rsid w:val="00536D49"/>
    <w:rsid w:val="00543F02"/>
    <w:rsid w:val="00553279"/>
    <w:rsid w:val="00555084"/>
    <w:rsid w:val="005551DB"/>
    <w:rsid w:val="00580A2B"/>
    <w:rsid w:val="0058540B"/>
    <w:rsid w:val="00594194"/>
    <w:rsid w:val="005D0608"/>
    <w:rsid w:val="005D39DF"/>
    <w:rsid w:val="005F0674"/>
    <w:rsid w:val="0063462D"/>
    <w:rsid w:val="0064018E"/>
    <w:rsid w:val="006736BA"/>
    <w:rsid w:val="00697553"/>
    <w:rsid w:val="006A1302"/>
    <w:rsid w:val="006A27E1"/>
    <w:rsid w:val="006C7585"/>
    <w:rsid w:val="00717A08"/>
    <w:rsid w:val="00727947"/>
    <w:rsid w:val="00730AC5"/>
    <w:rsid w:val="007323C0"/>
    <w:rsid w:val="00744BEB"/>
    <w:rsid w:val="0075030B"/>
    <w:rsid w:val="00766DE6"/>
    <w:rsid w:val="007736AD"/>
    <w:rsid w:val="00775C41"/>
    <w:rsid w:val="0078009E"/>
    <w:rsid w:val="007909FD"/>
    <w:rsid w:val="0079593F"/>
    <w:rsid w:val="007A3113"/>
    <w:rsid w:val="007A7EC9"/>
    <w:rsid w:val="007D59D9"/>
    <w:rsid w:val="007D7050"/>
    <w:rsid w:val="007E75CB"/>
    <w:rsid w:val="00800E5D"/>
    <w:rsid w:val="00816D1E"/>
    <w:rsid w:val="008214B6"/>
    <w:rsid w:val="00822E4A"/>
    <w:rsid w:val="00824416"/>
    <w:rsid w:val="008420C5"/>
    <w:rsid w:val="008651BB"/>
    <w:rsid w:val="00873194"/>
    <w:rsid w:val="008758C5"/>
    <w:rsid w:val="008947A0"/>
    <w:rsid w:val="008A4137"/>
    <w:rsid w:val="008A58A1"/>
    <w:rsid w:val="008B6BAE"/>
    <w:rsid w:val="00921E68"/>
    <w:rsid w:val="00945B75"/>
    <w:rsid w:val="0096683D"/>
    <w:rsid w:val="00993381"/>
    <w:rsid w:val="00997049"/>
    <w:rsid w:val="009A4169"/>
    <w:rsid w:val="009C07E7"/>
    <w:rsid w:val="009C37BC"/>
    <w:rsid w:val="009C4CA7"/>
    <w:rsid w:val="009C7E19"/>
    <w:rsid w:val="009E705A"/>
    <w:rsid w:val="009F1830"/>
    <w:rsid w:val="009F320F"/>
    <w:rsid w:val="00A01B7B"/>
    <w:rsid w:val="00A02497"/>
    <w:rsid w:val="00A03A25"/>
    <w:rsid w:val="00A115D0"/>
    <w:rsid w:val="00A12671"/>
    <w:rsid w:val="00A222B7"/>
    <w:rsid w:val="00A27692"/>
    <w:rsid w:val="00A43BBB"/>
    <w:rsid w:val="00A45061"/>
    <w:rsid w:val="00A50E14"/>
    <w:rsid w:val="00A6074F"/>
    <w:rsid w:val="00A61823"/>
    <w:rsid w:val="00A71F45"/>
    <w:rsid w:val="00AC1EAA"/>
    <w:rsid w:val="00AC3102"/>
    <w:rsid w:val="00AD1C8B"/>
    <w:rsid w:val="00AD68FD"/>
    <w:rsid w:val="00AF50A9"/>
    <w:rsid w:val="00B1284A"/>
    <w:rsid w:val="00B311D2"/>
    <w:rsid w:val="00B36AA0"/>
    <w:rsid w:val="00B44BD8"/>
    <w:rsid w:val="00B63D77"/>
    <w:rsid w:val="00B646D0"/>
    <w:rsid w:val="00B70AD6"/>
    <w:rsid w:val="00B759B2"/>
    <w:rsid w:val="00B82116"/>
    <w:rsid w:val="00B84571"/>
    <w:rsid w:val="00B86AF2"/>
    <w:rsid w:val="00B97018"/>
    <w:rsid w:val="00BA3403"/>
    <w:rsid w:val="00BA7A5C"/>
    <w:rsid w:val="00BB6E89"/>
    <w:rsid w:val="00BC09E4"/>
    <w:rsid w:val="00BC47BF"/>
    <w:rsid w:val="00BD72D3"/>
    <w:rsid w:val="00BE0057"/>
    <w:rsid w:val="00BE2547"/>
    <w:rsid w:val="00BF1CB7"/>
    <w:rsid w:val="00BF5D74"/>
    <w:rsid w:val="00C101C1"/>
    <w:rsid w:val="00C22C80"/>
    <w:rsid w:val="00C24208"/>
    <w:rsid w:val="00C5185A"/>
    <w:rsid w:val="00C75A76"/>
    <w:rsid w:val="00C87D44"/>
    <w:rsid w:val="00CB14B8"/>
    <w:rsid w:val="00CB1B9F"/>
    <w:rsid w:val="00CB7A3B"/>
    <w:rsid w:val="00CC0ABB"/>
    <w:rsid w:val="00CC3541"/>
    <w:rsid w:val="00CD176F"/>
    <w:rsid w:val="00CD6F69"/>
    <w:rsid w:val="00CF6566"/>
    <w:rsid w:val="00D06B77"/>
    <w:rsid w:val="00D13A99"/>
    <w:rsid w:val="00D25329"/>
    <w:rsid w:val="00D272E4"/>
    <w:rsid w:val="00D36645"/>
    <w:rsid w:val="00D40530"/>
    <w:rsid w:val="00D41ED1"/>
    <w:rsid w:val="00D45E5A"/>
    <w:rsid w:val="00D51381"/>
    <w:rsid w:val="00D53290"/>
    <w:rsid w:val="00D550E2"/>
    <w:rsid w:val="00D5731E"/>
    <w:rsid w:val="00DB1151"/>
    <w:rsid w:val="00DB1B3B"/>
    <w:rsid w:val="00DD5D22"/>
    <w:rsid w:val="00DE7289"/>
    <w:rsid w:val="00E04CC0"/>
    <w:rsid w:val="00E23AD3"/>
    <w:rsid w:val="00E30FEA"/>
    <w:rsid w:val="00E32CEF"/>
    <w:rsid w:val="00E41246"/>
    <w:rsid w:val="00E44374"/>
    <w:rsid w:val="00E64B2E"/>
    <w:rsid w:val="00E65293"/>
    <w:rsid w:val="00E82474"/>
    <w:rsid w:val="00E923E6"/>
    <w:rsid w:val="00EB43BA"/>
    <w:rsid w:val="00ED72E1"/>
    <w:rsid w:val="00F203A8"/>
    <w:rsid w:val="00F44083"/>
    <w:rsid w:val="00F92ACE"/>
    <w:rsid w:val="00F97A9B"/>
    <w:rsid w:val="00FA0669"/>
    <w:rsid w:val="00FB0187"/>
    <w:rsid w:val="00FB2A60"/>
    <w:rsid w:val="00FD7ACA"/>
    <w:rsid w:val="00FE1E19"/>
    <w:rsid w:val="00FF2B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09E"/>
    <w:pPr>
      <w:keepNext/>
      <w:numPr>
        <w:numId w:val="1"/>
      </w:numPr>
      <w:spacing w:before="120" w:after="120" w:line="240" w:lineRule="auto"/>
      <w:jc w:val="both"/>
      <w:outlineLvl w:val="0"/>
    </w:pPr>
    <w:rPr>
      <w:rFonts w:ascii="Arial Narrow" w:eastAsia="Times New Roman" w:hAnsi="Arial Narrow" w:cs="Arial"/>
      <w:b/>
    </w:rPr>
  </w:style>
  <w:style w:type="paragraph" w:styleId="Heading2">
    <w:name w:val="heading 2"/>
    <w:basedOn w:val="Normal"/>
    <w:next w:val="Normal"/>
    <w:link w:val="Heading2Char"/>
    <w:uiPriority w:val="9"/>
    <w:unhideWhenUsed/>
    <w:qFormat/>
    <w:rsid w:val="00342B5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2B5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2B5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42B5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42B5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42B5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42B5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2B5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E"/>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64018E"/>
    <w:rPr>
      <w:rFonts w:eastAsia="Times New Roman"/>
    </w:rPr>
  </w:style>
  <w:style w:type="paragraph" w:styleId="Footer">
    <w:name w:val="footer"/>
    <w:basedOn w:val="Normal"/>
    <w:link w:val="FooterChar"/>
    <w:uiPriority w:val="99"/>
    <w:unhideWhenUsed/>
    <w:rsid w:val="0064018E"/>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64018E"/>
    <w:rPr>
      <w:rFonts w:eastAsia="Times New Roman"/>
    </w:rPr>
  </w:style>
  <w:style w:type="paragraph" w:styleId="NoSpacing">
    <w:name w:val="No Spacing"/>
    <w:uiPriority w:val="1"/>
    <w:qFormat/>
    <w:rsid w:val="0064018E"/>
    <w:pPr>
      <w:spacing w:after="0" w:line="240" w:lineRule="auto"/>
    </w:pPr>
    <w:rPr>
      <w:rFonts w:eastAsia="Times New Roman"/>
    </w:rPr>
  </w:style>
  <w:style w:type="character" w:styleId="CommentReference">
    <w:name w:val="annotation reference"/>
    <w:basedOn w:val="DefaultParagraphFont"/>
    <w:uiPriority w:val="99"/>
    <w:semiHidden/>
    <w:unhideWhenUsed/>
    <w:rsid w:val="0064018E"/>
    <w:rPr>
      <w:sz w:val="16"/>
      <w:szCs w:val="16"/>
    </w:rPr>
  </w:style>
  <w:style w:type="paragraph" w:styleId="CommentText">
    <w:name w:val="annotation text"/>
    <w:basedOn w:val="Normal"/>
    <w:link w:val="CommentTextChar"/>
    <w:uiPriority w:val="99"/>
    <w:semiHidden/>
    <w:unhideWhenUsed/>
    <w:rsid w:val="0064018E"/>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64018E"/>
    <w:rPr>
      <w:rFonts w:eastAsia="Times New Roman"/>
      <w:sz w:val="20"/>
      <w:szCs w:val="20"/>
    </w:rPr>
  </w:style>
  <w:style w:type="paragraph" w:styleId="FootnoteText">
    <w:name w:val="footnote text"/>
    <w:basedOn w:val="Normal"/>
    <w:link w:val="FootnoteTextChar"/>
    <w:uiPriority w:val="99"/>
    <w:semiHidden/>
    <w:unhideWhenUsed/>
    <w:rsid w:val="0064018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4018E"/>
    <w:rPr>
      <w:rFonts w:eastAsia="Times New Roman"/>
      <w:sz w:val="20"/>
      <w:szCs w:val="20"/>
    </w:rPr>
  </w:style>
  <w:style w:type="character" w:styleId="FootnoteReference">
    <w:name w:val="footnote reference"/>
    <w:basedOn w:val="DefaultParagraphFont"/>
    <w:uiPriority w:val="99"/>
    <w:semiHidden/>
    <w:unhideWhenUsed/>
    <w:rsid w:val="0064018E"/>
    <w:rPr>
      <w:vertAlign w:val="superscript"/>
    </w:rPr>
  </w:style>
  <w:style w:type="paragraph" w:styleId="BalloonText">
    <w:name w:val="Balloon Text"/>
    <w:basedOn w:val="Normal"/>
    <w:link w:val="BalloonTextChar"/>
    <w:uiPriority w:val="99"/>
    <w:semiHidden/>
    <w:unhideWhenUsed/>
    <w:rsid w:val="00640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8E"/>
    <w:rPr>
      <w:rFonts w:ascii="Segoe UI" w:hAnsi="Segoe UI" w:cs="Segoe UI"/>
      <w:sz w:val="18"/>
      <w:szCs w:val="18"/>
    </w:rPr>
  </w:style>
  <w:style w:type="character" w:customStyle="1" w:styleId="Heading1Char">
    <w:name w:val="Heading 1 Char"/>
    <w:basedOn w:val="DefaultParagraphFont"/>
    <w:link w:val="Heading1"/>
    <w:uiPriority w:val="9"/>
    <w:rsid w:val="0078009E"/>
    <w:rPr>
      <w:rFonts w:ascii="Arial Narrow" w:eastAsia="Times New Roman" w:hAnsi="Arial Narrow" w:cs="Arial"/>
      <w:b/>
    </w:rPr>
  </w:style>
  <w:style w:type="character" w:customStyle="1" w:styleId="Heading2Char">
    <w:name w:val="Heading 2 Char"/>
    <w:basedOn w:val="DefaultParagraphFont"/>
    <w:link w:val="Heading2"/>
    <w:uiPriority w:val="9"/>
    <w:rsid w:val="00342B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2B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2B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42B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42B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42B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42B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2B5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42B56"/>
    <w:pPr>
      <w:ind w:left="720"/>
      <w:contextualSpacing/>
    </w:pPr>
  </w:style>
  <w:style w:type="paragraph" w:styleId="CommentSubject">
    <w:name w:val="annotation subject"/>
    <w:basedOn w:val="CommentText"/>
    <w:next w:val="CommentText"/>
    <w:link w:val="CommentSubjectChar"/>
    <w:uiPriority w:val="99"/>
    <w:semiHidden/>
    <w:unhideWhenUsed/>
    <w:rsid w:val="00342B56"/>
    <w:pPr>
      <w:spacing w:after="160"/>
    </w:pPr>
    <w:rPr>
      <w:rFonts w:eastAsiaTheme="minorHAnsi"/>
      <w:b/>
      <w:bCs/>
    </w:rPr>
  </w:style>
  <w:style w:type="character" w:customStyle="1" w:styleId="CommentSubjectChar">
    <w:name w:val="Comment Subject Char"/>
    <w:basedOn w:val="CommentTextChar"/>
    <w:link w:val="CommentSubject"/>
    <w:uiPriority w:val="99"/>
    <w:semiHidden/>
    <w:rsid w:val="00342B56"/>
    <w:rPr>
      <w:rFonts w:eastAsia="Times New Roman"/>
      <w:b/>
      <w:bCs/>
      <w:sz w:val="20"/>
      <w:szCs w:val="20"/>
    </w:rPr>
  </w:style>
  <w:style w:type="paragraph" w:styleId="Revision">
    <w:name w:val="Revision"/>
    <w:hidden/>
    <w:uiPriority w:val="99"/>
    <w:semiHidden/>
    <w:rsid w:val="00342B56"/>
    <w:pPr>
      <w:spacing w:after="0" w:line="240" w:lineRule="auto"/>
    </w:pPr>
  </w:style>
  <w:style w:type="paragraph" w:styleId="BodyText">
    <w:name w:val="Body Text"/>
    <w:basedOn w:val="Normal"/>
    <w:link w:val="BodyTextChar"/>
    <w:uiPriority w:val="99"/>
    <w:unhideWhenUsed/>
    <w:rsid w:val="00744BEB"/>
    <w:pPr>
      <w:spacing w:before="120" w:after="120" w:line="240" w:lineRule="auto"/>
      <w:jc w:val="both"/>
    </w:pPr>
    <w:rPr>
      <w:rFonts w:ascii="Arial Narrow" w:eastAsia="Times New Roman" w:hAnsi="Arial Narrow" w:cs="Arial"/>
    </w:rPr>
  </w:style>
  <w:style w:type="character" w:customStyle="1" w:styleId="BodyTextChar">
    <w:name w:val="Body Text Char"/>
    <w:basedOn w:val="DefaultParagraphFont"/>
    <w:link w:val="BodyText"/>
    <w:uiPriority w:val="99"/>
    <w:rsid w:val="00744BEB"/>
    <w:rPr>
      <w:rFonts w:ascii="Arial Narrow" w:eastAsia="Times New Roman" w:hAnsi="Arial Narrow" w:cs="Arial"/>
    </w:rPr>
  </w:style>
  <w:style w:type="character" w:styleId="Hyperlink">
    <w:name w:val="Hyperlink"/>
    <w:basedOn w:val="DefaultParagraphFont"/>
    <w:uiPriority w:val="99"/>
    <w:unhideWhenUsed/>
    <w:rsid w:val="0063462D"/>
    <w:rPr>
      <w:color w:val="0563C1" w:themeColor="hyperlink"/>
      <w:u w:val="single"/>
    </w:rPr>
  </w:style>
  <w:style w:type="paragraph" w:customStyle="1" w:styleId="Default">
    <w:name w:val="Default"/>
    <w:rsid w:val="001D65F3"/>
    <w:pPr>
      <w:autoSpaceDE w:val="0"/>
      <w:autoSpaceDN w:val="0"/>
      <w:adjustRightInd w:val="0"/>
      <w:spacing w:after="0" w:line="240" w:lineRule="auto"/>
    </w:pPr>
    <w:rPr>
      <w:rFonts w:ascii="Symbol" w:hAnsi="Symbol" w:cs="Symbol"/>
      <w:color w:val="000000"/>
      <w:sz w:val="24"/>
      <w:szCs w:val="24"/>
    </w:rPr>
  </w:style>
  <w:style w:type="table" w:customStyle="1" w:styleId="Style1">
    <w:name w:val="Style1"/>
    <w:basedOn w:val="TableWeb2"/>
    <w:uiPriority w:val="99"/>
    <w:rsid w:val="00CB1B9F"/>
    <w:pPr>
      <w:spacing w:after="0" w:line="240" w:lineRule="auto"/>
    </w:pPr>
    <w:rPr>
      <w:rFonts w:eastAsia="Times New Roman"/>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B1B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6A1302"/>
    <w:pPr>
      <w:numPr>
        <w:numId w:val="2"/>
      </w:numPr>
      <w:spacing w:after="240" w:line="240" w:lineRule="auto"/>
      <w:ind w:left="907"/>
    </w:pPr>
    <w:rPr>
      <w:rFonts w:ascii="Arial" w:eastAsia="Times New Roman" w:hAnsi="Arial" w:cs="Times New Roman"/>
      <w:sz w:val="24"/>
      <w:szCs w:val="24"/>
    </w:rPr>
  </w:style>
  <w:style w:type="character" w:customStyle="1" w:styleId="ListBulletChar">
    <w:name w:val="List Bullet Char"/>
    <w:link w:val="ListBullet"/>
    <w:rsid w:val="006A1302"/>
    <w:rPr>
      <w:rFonts w:ascii="Arial" w:eastAsia="Times New Roman" w:hAnsi="Arial" w:cs="Times New Roman"/>
      <w:sz w:val="24"/>
      <w:szCs w:val="24"/>
    </w:rPr>
  </w:style>
  <w:style w:type="table" w:styleId="TableGrid">
    <w:name w:val="Table Grid"/>
    <w:basedOn w:val="TableNormal"/>
    <w:uiPriority w:val="39"/>
    <w:rsid w:val="00B9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1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florida.com/about.html" TargetMode="External"/><Relationship Id="rId13" Type="http://schemas.openxmlformats.org/officeDocument/2006/relationships/hyperlink" Target="http://nwi.pdx.edu/" TargetMode="External"/><Relationship Id="rId18" Type="http://schemas.openxmlformats.org/officeDocument/2006/relationships/hyperlink" Target="https://theinstitute.umaryland.ed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Qasimah.Boston@myflfamilies.com" TargetMode="External"/><Relationship Id="rId17" Type="http://schemas.openxmlformats.org/officeDocument/2006/relationships/hyperlink" Target="https://www.samhsa.gov/sites/default/files/programs_campaigns/nitt-ta/2015-report-to-congress.pdf" TargetMode="External"/><Relationship Id="rId2" Type="http://schemas.openxmlformats.org/officeDocument/2006/relationships/numbering" Target="numbering.xml"/><Relationship Id="rId16" Type="http://schemas.openxmlformats.org/officeDocument/2006/relationships/hyperlink" Target="https://gucchd.georgetown.edu/products/SOCIssueBrie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culturalhealth.hhs.gov/assets/pdfs/EnhancedNationalCLASStandard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etwork.pro/index.cfm" TargetMode="External"/><Relationship Id="rId23" Type="http://schemas.openxmlformats.org/officeDocument/2006/relationships/fontTable" Target="fontTable.xml"/><Relationship Id="rId10" Type="http://schemas.openxmlformats.org/officeDocument/2006/relationships/hyperlink" Target="https://spars.samhsa.gov/content/data-collection-tool-resour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ars.samhsa.gov/sites/default/files/Ref-376_CMHS_Client-Level%20Services%20Tool_Children-Adolescents-Caregivers.pdf" TargetMode="External"/><Relationship Id="rId14" Type="http://schemas.openxmlformats.org/officeDocument/2006/relationships/hyperlink" Target="https://gucchd.georgetown.edu/products/ToolkitSOC.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9E08-EC95-4EE0-9326-88119105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2018-06-01T22:15:00Z</dcterms:created>
  <dcterms:modified xsi:type="dcterms:W3CDTF">2018-06-01T22:15:00Z</dcterms:modified>
</cp:coreProperties>
</file>