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03C25" w14:textId="77777777" w:rsidR="00D97EDF" w:rsidRPr="00B42E4B" w:rsidRDefault="00DA6DBA" w:rsidP="00D97EDF">
      <w:pPr>
        <w:spacing w:before="120" w:after="120" w:line="240" w:lineRule="auto"/>
        <w:contextualSpacing/>
        <w:jc w:val="center"/>
        <w:rPr>
          <w:rFonts w:ascii="Arial Narrow" w:eastAsia="Times New Roman" w:hAnsi="Arial Narrow" w:cs="Arial"/>
          <w:b/>
          <w:bCs/>
          <w:sz w:val="24"/>
          <w:szCs w:val="24"/>
        </w:rPr>
      </w:pPr>
      <w:r w:rsidRPr="00B42E4B">
        <w:rPr>
          <w:rFonts w:ascii="Arial Narrow" w:eastAsia="Times New Roman" w:hAnsi="Arial Narrow" w:cs="Arial"/>
          <w:b/>
          <w:bCs/>
          <w:sz w:val="24"/>
          <w:szCs w:val="24"/>
        </w:rPr>
        <w:t xml:space="preserve">Guidance </w:t>
      </w:r>
      <w:r w:rsidR="00BC6DB6">
        <w:rPr>
          <w:rFonts w:ascii="Arial Narrow" w:eastAsia="Times New Roman" w:hAnsi="Arial Narrow" w:cs="Arial"/>
          <w:b/>
          <w:bCs/>
          <w:sz w:val="24"/>
          <w:szCs w:val="24"/>
        </w:rPr>
        <w:t>30</w:t>
      </w:r>
    </w:p>
    <w:p w14:paraId="33903A7F" w14:textId="77777777" w:rsidR="008B38AA" w:rsidRPr="00B42E4B" w:rsidRDefault="00565664" w:rsidP="008B38AA">
      <w:pPr>
        <w:widowControl w:val="0"/>
        <w:autoSpaceDE w:val="0"/>
        <w:autoSpaceDN w:val="0"/>
        <w:spacing w:before="120" w:after="120" w:line="240" w:lineRule="auto"/>
        <w:jc w:val="center"/>
        <w:rPr>
          <w:rFonts w:ascii="Arial Narrow" w:hAnsi="Arial Narrow" w:cs="Arial"/>
          <w:b/>
          <w:sz w:val="24"/>
          <w:szCs w:val="24"/>
        </w:rPr>
      </w:pPr>
      <w:r w:rsidRPr="00B42E4B">
        <w:rPr>
          <w:rFonts w:ascii="Arial Narrow" w:hAnsi="Arial Narrow" w:cs="Arial"/>
          <w:b/>
          <w:sz w:val="24"/>
          <w:szCs w:val="24"/>
        </w:rPr>
        <w:t>P</w:t>
      </w:r>
      <w:r w:rsidR="002D0074" w:rsidRPr="00B42E4B">
        <w:rPr>
          <w:rFonts w:ascii="Arial Narrow" w:hAnsi="Arial Narrow" w:cs="Arial"/>
          <w:b/>
          <w:sz w:val="24"/>
          <w:szCs w:val="24"/>
        </w:rPr>
        <w:t>artnerships for Success</w:t>
      </w:r>
      <w:r w:rsidRPr="00B42E4B">
        <w:rPr>
          <w:rFonts w:ascii="Arial Narrow" w:hAnsi="Arial Narrow" w:cs="Arial"/>
          <w:b/>
          <w:sz w:val="24"/>
          <w:szCs w:val="24"/>
        </w:rPr>
        <w:t xml:space="preserve"> (P</w:t>
      </w:r>
      <w:r w:rsidR="002D0074" w:rsidRPr="00B42E4B">
        <w:rPr>
          <w:rFonts w:ascii="Arial Narrow" w:hAnsi="Arial Narrow" w:cs="Arial"/>
          <w:b/>
          <w:sz w:val="24"/>
          <w:szCs w:val="24"/>
        </w:rPr>
        <w:t>FS</w:t>
      </w:r>
      <w:r w:rsidRPr="00B42E4B">
        <w:rPr>
          <w:rFonts w:ascii="Arial Narrow" w:hAnsi="Arial Narrow" w:cs="Arial"/>
          <w:b/>
          <w:sz w:val="24"/>
          <w:szCs w:val="24"/>
        </w:rPr>
        <w:t>)</w:t>
      </w:r>
    </w:p>
    <w:p w14:paraId="3F20F8EC" w14:textId="00917984" w:rsidR="00DA6DBA" w:rsidRPr="00B42E4B" w:rsidRDefault="00DA6DBA" w:rsidP="00E02341">
      <w:pPr>
        <w:spacing w:before="120" w:after="120" w:line="240" w:lineRule="auto"/>
        <w:jc w:val="both"/>
        <w:rPr>
          <w:rFonts w:ascii="Arial Narrow" w:hAnsi="Arial Narrow" w:cs="Arial"/>
          <w:b/>
        </w:rPr>
      </w:pPr>
      <w:r w:rsidRPr="00B42E4B">
        <w:rPr>
          <w:rFonts w:ascii="Arial Narrow" w:hAnsi="Arial Narrow" w:cs="Arial"/>
          <w:b/>
        </w:rPr>
        <w:t>Contract Reference:</w:t>
      </w:r>
      <w:r w:rsidRPr="00B42E4B">
        <w:rPr>
          <w:rFonts w:ascii="Arial Narrow" w:hAnsi="Arial Narrow" w:cs="Arial"/>
          <w:b/>
        </w:rPr>
        <w:tab/>
      </w:r>
      <w:r w:rsidR="003C1E6C">
        <w:rPr>
          <w:rFonts w:ascii="Arial Narrow" w:hAnsi="Arial Narrow" w:cs="Arial"/>
          <w:b/>
        </w:rPr>
        <w:t xml:space="preserve">Sections A-1.1.2 and </w:t>
      </w:r>
      <w:r w:rsidR="00AF379D">
        <w:rPr>
          <w:rFonts w:ascii="Arial Narrow" w:hAnsi="Arial Narrow" w:cs="Arial"/>
          <w:b/>
        </w:rPr>
        <w:t>C-1.2</w:t>
      </w:r>
    </w:p>
    <w:p w14:paraId="6EFA46F4" w14:textId="77777777" w:rsidR="00956492" w:rsidRPr="00B42E4B" w:rsidRDefault="00DA6DBA">
      <w:pPr>
        <w:spacing w:before="120" w:after="120" w:line="240" w:lineRule="auto"/>
        <w:rPr>
          <w:rFonts w:ascii="Arial Narrow" w:hAnsi="Arial Narrow" w:cs="Arial"/>
          <w:b/>
          <w:i/>
        </w:rPr>
      </w:pPr>
      <w:r w:rsidRPr="00B42E4B">
        <w:rPr>
          <w:rFonts w:ascii="Arial Narrow" w:hAnsi="Arial Narrow" w:cs="Arial"/>
          <w:b/>
        </w:rPr>
        <w:t>Authorit</w:t>
      </w:r>
      <w:r w:rsidR="00956492" w:rsidRPr="00B42E4B">
        <w:rPr>
          <w:rFonts w:ascii="Arial Narrow" w:hAnsi="Arial Narrow" w:cs="Arial"/>
          <w:b/>
        </w:rPr>
        <w:t>ies</w:t>
      </w:r>
      <w:r w:rsidR="00944D47" w:rsidRPr="00B42E4B">
        <w:rPr>
          <w:rFonts w:ascii="Arial Narrow" w:hAnsi="Arial Narrow" w:cs="Arial"/>
          <w:b/>
        </w:rPr>
        <w:t>:</w:t>
      </w:r>
      <w:r w:rsidRPr="00B42E4B">
        <w:rPr>
          <w:rFonts w:ascii="Arial Narrow" w:hAnsi="Arial Narrow" w:cs="Arial"/>
          <w:b/>
        </w:rPr>
        <w:tab/>
      </w:r>
      <w:r w:rsidR="00944D47" w:rsidRPr="00B42E4B">
        <w:rPr>
          <w:rFonts w:ascii="Arial Narrow" w:hAnsi="Arial Narrow" w:cs="Arial"/>
        </w:rPr>
        <w:tab/>
      </w:r>
      <w:r w:rsidR="00956492" w:rsidRPr="00B42E4B">
        <w:rPr>
          <w:rFonts w:ascii="Arial Narrow" w:hAnsi="Arial Narrow" w:cs="Arial"/>
          <w:i/>
        </w:rPr>
        <w:t>s. 397.99, F.S.</w:t>
      </w:r>
    </w:p>
    <w:p w14:paraId="1280FAF3" w14:textId="77777777" w:rsidR="00944D47" w:rsidRPr="00B42E4B" w:rsidRDefault="00791EF0">
      <w:pPr>
        <w:spacing w:before="120" w:after="120" w:line="240" w:lineRule="auto"/>
        <w:rPr>
          <w:rFonts w:ascii="Arial Narrow" w:hAnsi="Arial Narrow" w:cs="Arial"/>
          <w:i/>
        </w:rPr>
      </w:pPr>
      <w:r w:rsidRPr="00B42E4B">
        <w:rPr>
          <w:rFonts w:ascii="Arial Narrow" w:hAnsi="Arial Narrow" w:cs="Arial"/>
          <w:b/>
        </w:rPr>
        <w:t>Frequency:</w:t>
      </w:r>
      <w:r w:rsidRPr="00B42E4B">
        <w:rPr>
          <w:rFonts w:ascii="Arial Narrow" w:hAnsi="Arial Narrow" w:cs="Arial"/>
        </w:rPr>
        <w:tab/>
      </w:r>
      <w:r w:rsidR="00DA6DBA" w:rsidRPr="00B42E4B">
        <w:rPr>
          <w:rFonts w:ascii="Arial Narrow" w:hAnsi="Arial Narrow" w:cs="Arial"/>
        </w:rPr>
        <w:tab/>
      </w:r>
      <w:r w:rsidRPr="00B42E4B">
        <w:rPr>
          <w:rFonts w:ascii="Arial Narrow" w:hAnsi="Arial Narrow" w:cs="Arial"/>
          <w:i/>
        </w:rPr>
        <w:t>Ongoing</w:t>
      </w:r>
      <w:r w:rsidRPr="00B42E4B">
        <w:rPr>
          <w:rFonts w:ascii="Arial Narrow" w:hAnsi="Arial Narrow" w:cs="Arial"/>
          <w:i/>
        </w:rPr>
        <w:tab/>
      </w:r>
    </w:p>
    <w:p w14:paraId="7927FCF0" w14:textId="77777777" w:rsidR="00944D47" w:rsidRPr="00B42E4B" w:rsidRDefault="00791EF0">
      <w:pPr>
        <w:spacing w:before="120" w:after="120" w:line="240" w:lineRule="auto"/>
        <w:rPr>
          <w:rFonts w:ascii="Arial Narrow" w:hAnsi="Arial Narrow" w:cs="Arial"/>
        </w:rPr>
      </w:pPr>
      <w:r w:rsidRPr="00B42E4B">
        <w:rPr>
          <w:rFonts w:ascii="Arial Narrow" w:hAnsi="Arial Narrow" w:cs="Arial"/>
          <w:b/>
        </w:rPr>
        <w:t>Due Date:</w:t>
      </w:r>
      <w:r w:rsidR="00DA6DBA" w:rsidRPr="00B42E4B">
        <w:rPr>
          <w:rFonts w:ascii="Arial Narrow" w:hAnsi="Arial Narrow" w:cs="Arial"/>
          <w:b/>
        </w:rPr>
        <w:tab/>
      </w:r>
      <w:r w:rsidRPr="00B42E4B">
        <w:rPr>
          <w:rFonts w:ascii="Arial Narrow" w:hAnsi="Arial Narrow" w:cs="Arial"/>
        </w:rPr>
        <w:tab/>
      </w:r>
      <w:r w:rsidRPr="00B42E4B">
        <w:rPr>
          <w:rFonts w:ascii="Arial Narrow" w:hAnsi="Arial Narrow" w:cs="Arial"/>
          <w:i/>
        </w:rPr>
        <w:t>Not Applicable</w:t>
      </w:r>
    </w:p>
    <w:p w14:paraId="0E1F7A07" w14:textId="77777777" w:rsidR="00DA6DBA" w:rsidRPr="00B42E4B" w:rsidRDefault="00791EF0">
      <w:pPr>
        <w:spacing w:before="120" w:after="120" w:line="240" w:lineRule="auto"/>
        <w:rPr>
          <w:rFonts w:ascii="Arial Narrow" w:hAnsi="Arial Narrow" w:cs="Arial"/>
          <w:b/>
        </w:rPr>
      </w:pPr>
      <w:r w:rsidRPr="00B42E4B">
        <w:rPr>
          <w:rFonts w:ascii="Arial Narrow" w:hAnsi="Arial Narrow" w:cs="Arial"/>
          <w:b/>
        </w:rPr>
        <w:t>D</w:t>
      </w:r>
      <w:r w:rsidR="00295701" w:rsidRPr="00B42E4B">
        <w:rPr>
          <w:rFonts w:ascii="Arial Narrow" w:hAnsi="Arial Narrow" w:cs="Arial"/>
          <w:b/>
        </w:rPr>
        <w:t>iscussion</w:t>
      </w:r>
      <w:r w:rsidR="00DA6DBA" w:rsidRPr="00B42E4B">
        <w:rPr>
          <w:rFonts w:ascii="Arial Narrow" w:hAnsi="Arial Narrow" w:cs="Arial"/>
          <w:b/>
        </w:rPr>
        <w:t>:</w:t>
      </w:r>
      <w:r w:rsidR="00295701" w:rsidRPr="00B42E4B">
        <w:rPr>
          <w:rFonts w:ascii="Arial Narrow" w:hAnsi="Arial Narrow" w:cs="Arial"/>
          <w:b/>
        </w:rPr>
        <w:tab/>
      </w:r>
    </w:p>
    <w:p w14:paraId="68991550" w14:textId="2F048913" w:rsidR="00BB5027" w:rsidRDefault="00BB5027" w:rsidP="00BB5027">
      <w:pPr>
        <w:widowControl w:val="0"/>
        <w:autoSpaceDE w:val="0"/>
        <w:autoSpaceDN w:val="0"/>
        <w:spacing w:before="120" w:after="120" w:line="240" w:lineRule="auto"/>
        <w:jc w:val="both"/>
        <w:rPr>
          <w:rFonts w:ascii="Arial Narrow" w:hAnsi="Arial Narrow" w:cs="Arial"/>
          <w:lang w:val="en"/>
        </w:rPr>
      </w:pPr>
      <w:r w:rsidRPr="00B42E4B">
        <w:rPr>
          <w:rFonts w:ascii="Arial Narrow" w:hAnsi="Arial Narrow" w:cs="Arial"/>
        </w:rPr>
        <w:t xml:space="preserve">This document provides policy guidance on </w:t>
      </w:r>
      <w:r>
        <w:rPr>
          <w:rFonts w:ascii="Arial Narrow" w:hAnsi="Arial Narrow" w:cs="Arial"/>
        </w:rPr>
        <w:t xml:space="preserve">Managing Entity </w:t>
      </w:r>
      <w:r w:rsidRPr="00B42E4B">
        <w:rPr>
          <w:rFonts w:ascii="Arial Narrow" w:hAnsi="Arial Narrow" w:cs="Arial"/>
        </w:rPr>
        <w:t>implementation of the Partnerships for Success (PFS) grant</w:t>
      </w:r>
      <w:r>
        <w:rPr>
          <w:rFonts w:ascii="Arial Narrow" w:hAnsi="Arial Narrow" w:cs="Arial"/>
        </w:rPr>
        <w:t xml:space="preserve"> awarded to the Department under SAMHSA Grant #</w:t>
      </w:r>
      <w:r w:rsidRPr="00E463EC">
        <w:t xml:space="preserve"> </w:t>
      </w:r>
      <w:r w:rsidRPr="00E463EC">
        <w:rPr>
          <w:rFonts w:ascii="Arial Narrow" w:hAnsi="Arial Narrow" w:cs="Arial"/>
        </w:rPr>
        <w:t>1U79SP021677-01</w:t>
      </w:r>
      <w:r w:rsidR="00AF379D">
        <w:rPr>
          <w:rFonts w:ascii="Arial Narrow" w:hAnsi="Arial Narrow" w:cs="Arial"/>
        </w:rPr>
        <w:t>, as amended by any annual Notices of Award</w:t>
      </w:r>
      <w:r>
        <w:rPr>
          <w:rFonts w:ascii="Arial Narrow" w:hAnsi="Arial Narrow" w:cs="Arial"/>
        </w:rPr>
        <w:t>. The award includes funds for the development of</w:t>
      </w:r>
      <w:r w:rsidRPr="00B42E4B">
        <w:rPr>
          <w:rFonts w:ascii="Arial Narrow" w:hAnsi="Arial Narrow" w:cs="Arial"/>
        </w:rPr>
        <w:t xml:space="preserve"> Drug Epidemiology Networks (DENs) </w:t>
      </w:r>
      <w:r>
        <w:rPr>
          <w:rFonts w:ascii="Arial Narrow" w:hAnsi="Arial Narrow" w:cs="Arial"/>
        </w:rPr>
        <w:t>and development or expansion of</w:t>
      </w:r>
      <w:r w:rsidRPr="00B42E4B">
        <w:rPr>
          <w:rFonts w:ascii="Arial Narrow" w:hAnsi="Arial Narrow" w:cs="Arial"/>
        </w:rPr>
        <w:t xml:space="preserve"> </w:t>
      </w:r>
      <w:r>
        <w:rPr>
          <w:rFonts w:ascii="Arial Narrow" w:hAnsi="Arial Narrow" w:cs="Arial"/>
        </w:rPr>
        <w:t>school-based prevention programs</w:t>
      </w:r>
      <w:r w:rsidRPr="00B42E4B">
        <w:rPr>
          <w:rFonts w:ascii="Arial Narrow" w:hAnsi="Arial Narrow" w:cs="Arial"/>
        </w:rPr>
        <w:t xml:space="preserve"> in </w:t>
      </w:r>
      <w:r>
        <w:rPr>
          <w:rFonts w:ascii="Arial Narrow" w:hAnsi="Arial Narrow" w:cs="Arial"/>
        </w:rPr>
        <w:t xml:space="preserve">PFS counties. </w:t>
      </w:r>
      <w:r w:rsidRPr="00B42E4B">
        <w:rPr>
          <w:rFonts w:ascii="Arial Narrow" w:hAnsi="Arial Narrow" w:cs="Arial"/>
        </w:rPr>
        <w:t xml:space="preserve">The purpose of the local DENs is to </w:t>
      </w:r>
      <w:r>
        <w:rPr>
          <w:rFonts w:ascii="Arial Narrow" w:hAnsi="Arial Narrow" w:cs="Arial"/>
        </w:rPr>
        <w:t>produce</w:t>
      </w:r>
      <w:r w:rsidRPr="00B42E4B">
        <w:rPr>
          <w:rFonts w:ascii="Arial Narrow" w:hAnsi="Arial Narrow" w:cs="Arial"/>
        </w:rPr>
        <w:t xml:space="preserve"> </w:t>
      </w:r>
      <w:r>
        <w:rPr>
          <w:rFonts w:ascii="Arial Narrow" w:hAnsi="Arial Narrow" w:cs="Arial"/>
        </w:rPr>
        <w:t xml:space="preserve">a county needs assessment and conduct </w:t>
      </w:r>
      <w:r w:rsidRPr="00B42E4B">
        <w:rPr>
          <w:rFonts w:ascii="Arial Narrow" w:hAnsi="Arial Narrow" w:cs="Arial"/>
        </w:rPr>
        <w:t xml:space="preserve">drug surveillance through the compilation, analysis, and reporting of local data. </w:t>
      </w:r>
      <w:r>
        <w:rPr>
          <w:rFonts w:ascii="Arial Narrow" w:hAnsi="Arial Narrow" w:cs="Arial"/>
        </w:rPr>
        <w:t xml:space="preserve">The purpose of school-based prevention </w:t>
      </w:r>
      <w:r w:rsidR="002B2BA2">
        <w:rPr>
          <w:rFonts w:ascii="Arial Narrow" w:hAnsi="Arial Narrow" w:cs="Arial"/>
        </w:rPr>
        <w:t>programs</w:t>
      </w:r>
      <w:r w:rsidR="002B2BA2" w:rsidRPr="004173CB">
        <w:rPr>
          <w:rFonts w:ascii="Arial Narrow" w:hAnsi="Arial Narrow" w:cs="Arial"/>
        </w:rPr>
        <w:t xml:space="preserve"> </w:t>
      </w:r>
      <w:r>
        <w:rPr>
          <w:rFonts w:ascii="Arial Narrow" w:hAnsi="Arial Narrow" w:cs="Arial"/>
        </w:rPr>
        <w:t>(</w:t>
      </w:r>
      <w:r w:rsidRPr="004173CB">
        <w:rPr>
          <w:rFonts w:ascii="Arial Narrow" w:hAnsi="Arial Narrow" w:cs="Arial"/>
        </w:rPr>
        <w:t>Botvin LifeSkills Training</w:t>
      </w:r>
      <w:r>
        <w:rPr>
          <w:rFonts w:ascii="Arial Narrow" w:hAnsi="Arial Narrow" w:cs="Arial"/>
        </w:rPr>
        <w:t>, Too Good for Drugs and Guiding Good Choices)</w:t>
      </w:r>
      <w:r w:rsidRPr="004173CB">
        <w:rPr>
          <w:rFonts w:ascii="Arial Narrow" w:hAnsi="Arial Narrow" w:cs="Arial"/>
        </w:rPr>
        <w:t xml:space="preserve"> </w:t>
      </w:r>
      <w:r>
        <w:rPr>
          <w:rFonts w:ascii="Arial Narrow" w:hAnsi="Arial Narrow" w:cs="Arial"/>
        </w:rPr>
        <w:t>are</w:t>
      </w:r>
      <w:r w:rsidRPr="002055DC">
        <w:rPr>
          <w:rFonts w:ascii="Arial Narrow" w:hAnsi="Arial Narrow" w:cs="Arial"/>
        </w:rPr>
        <w:t xml:space="preserve"> </w:t>
      </w:r>
      <w:r w:rsidRPr="0043151B">
        <w:rPr>
          <w:rFonts w:ascii="Arial Narrow" w:hAnsi="Arial Narrow" w:cs="Arial"/>
          <w:lang w:val="en"/>
        </w:rPr>
        <w:t>to prevent substance use and violence by targeting the major social and psychological factors that promote the initiation of substance use and other risky behaviors.</w:t>
      </w:r>
    </w:p>
    <w:p w14:paraId="04CFDCA8" w14:textId="5A6F304A" w:rsidR="00944726" w:rsidRPr="00B42E4B" w:rsidRDefault="00944726" w:rsidP="0035139C">
      <w:pPr>
        <w:widowControl w:val="0"/>
        <w:autoSpaceDE w:val="0"/>
        <w:autoSpaceDN w:val="0"/>
        <w:spacing w:before="120" w:after="120" w:line="240" w:lineRule="auto"/>
        <w:jc w:val="both"/>
        <w:rPr>
          <w:rFonts w:ascii="Arial Narrow" w:hAnsi="Arial Narrow" w:cs="Arial"/>
        </w:rPr>
      </w:pPr>
      <w:r w:rsidRPr="00B42E4B">
        <w:rPr>
          <w:rFonts w:ascii="Arial Narrow" w:hAnsi="Arial Narrow" w:cs="Arial"/>
        </w:rPr>
        <w:t xml:space="preserve">The </w:t>
      </w:r>
      <w:r>
        <w:rPr>
          <w:rFonts w:ascii="Arial Narrow" w:hAnsi="Arial Narrow" w:cs="Arial"/>
        </w:rPr>
        <w:t>primary</w:t>
      </w:r>
      <w:r w:rsidRPr="00B42E4B">
        <w:rPr>
          <w:rFonts w:ascii="Arial Narrow" w:hAnsi="Arial Narrow" w:cs="Arial"/>
        </w:rPr>
        <w:t xml:space="preserve"> </w:t>
      </w:r>
      <w:r w:rsidR="002719AF">
        <w:rPr>
          <w:rFonts w:ascii="Arial Narrow" w:hAnsi="Arial Narrow" w:cs="Arial"/>
        </w:rPr>
        <w:t>objectives</w:t>
      </w:r>
      <w:r w:rsidRPr="00B42E4B">
        <w:rPr>
          <w:rFonts w:ascii="Arial Narrow" w:hAnsi="Arial Narrow" w:cs="Arial"/>
        </w:rPr>
        <w:t xml:space="preserve"> of the PFS </w:t>
      </w:r>
      <w:r w:rsidR="002B2BA2">
        <w:rPr>
          <w:rFonts w:ascii="Arial Narrow" w:hAnsi="Arial Narrow" w:cs="Arial"/>
        </w:rPr>
        <w:t>grant</w:t>
      </w:r>
      <w:r w:rsidRPr="00B42E4B">
        <w:rPr>
          <w:rFonts w:ascii="Arial Narrow" w:hAnsi="Arial Narrow" w:cs="Arial"/>
        </w:rPr>
        <w:t xml:space="preserve"> are to:</w:t>
      </w:r>
    </w:p>
    <w:p w14:paraId="3550D5CD" w14:textId="77777777" w:rsidR="00944726" w:rsidRPr="00AF379D" w:rsidRDefault="00944726" w:rsidP="00AF379D">
      <w:pPr>
        <w:pStyle w:val="ListParagraph"/>
        <w:numPr>
          <w:ilvl w:val="0"/>
          <w:numId w:val="14"/>
        </w:numPr>
        <w:spacing w:before="120" w:after="120" w:line="240" w:lineRule="auto"/>
        <w:contextualSpacing w:val="0"/>
        <w:rPr>
          <w:rFonts w:ascii="Arial Narrow" w:hAnsi="Arial Narrow" w:cs="Arial"/>
        </w:rPr>
      </w:pPr>
      <w:r w:rsidRPr="00AF379D">
        <w:rPr>
          <w:rFonts w:ascii="Arial Narrow" w:hAnsi="Arial Narrow" w:cs="Arial"/>
        </w:rPr>
        <w:t>Reduce prescription drug misuse among Floridians ages 12-25;</w:t>
      </w:r>
    </w:p>
    <w:p w14:paraId="7926D8DC" w14:textId="77777777" w:rsidR="00944726" w:rsidRPr="00AF379D" w:rsidRDefault="00944726" w:rsidP="00AF379D">
      <w:pPr>
        <w:pStyle w:val="ListParagraph"/>
        <w:numPr>
          <w:ilvl w:val="0"/>
          <w:numId w:val="14"/>
        </w:numPr>
        <w:spacing w:before="120" w:after="120" w:line="240" w:lineRule="auto"/>
        <w:contextualSpacing w:val="0"/>
        <w:rPr>
          <w:rFonts w:ascii="Arial Narrow" w:hAnsi="Arial Narrow" w:cs="Arial"/>
        </w:rPr>
      </w:pPr>
      <w:r w:rsidRPr="00AF379D">
        <w:rPr>
          <w:rFonts w:ascii="Arial Narrow" w:hAnsi="Arial Narrow" w:cs="Arial"/>
        </w:rPr>
        <w:t>Increase awareness of opioid prevention activities and overdose recognition and response; and</w:t>
      </w:r>
    </w:p>
    <w:p w14:paraId="7B0B8A91" w14:textId="0F00A419" w:rsidR="00944726" w:rsidRPr="00AF379D" w:rsidRDefault="00944726" w:rsidP="00AF379D">
      <w:pPr>
        <w:pStyle w:val="ListParagraph"/>
        <w:numPr>
          <w:ilvl w:val="0"/>
          <w:numId w:val="14"/>
        </w:numPr>
        <w:spacing w:before="120" w:after="120" w:line="240" w:lineRule="auto"/>
        <w:contextualSpacing w:val="0"/>
        <w:rPr>
          <w:rFonts w:ascii="Arial Narrow" w:hAnsi="Arial Narrow" w:cs="Arial"/>
        </w:rPr>
      </w:pPr>
      <w:r w:rsidRPr="00AF379D">
        <w:rPr>
          <w:rFonts w:ascii="Arial Narrow" w:hAnsi="Arial Narrow" w:cs="Arial"/>
        </w:rPr>
        <w:t>Strengthen prevention capacity and infrastructure at the state and community levels.</w:t>
      </w:r>
    </w:p>
    <w:p w14:paraId="53D395CC" w14:textId="757791E4" w:rsidR="00BB5027" w:rsidRDefault="00BB5027" w:rsidP="00BB5027">
      <w:pPr>
        <w:widowControl w:val="0"/>
        <w:autoSpaceDE w:val="0"/>
        <w:autoSpaceDN w:val="0"/>
        <w:spacing w:before="120" w:after="120" w:line="240" w:lineRule="auto"/>
        <w:jc w:val="both"/>
        <w:rPr>
          <w:rFonts w:ascii="Arial Narrow" w:hAnsi="Arial Narrow" w:cs="Arial"/>
          <w:lang w:val="en"/>
        </w:rPr>
      </w:pPr>
      <w:r>
        <w:rPr>
          <w:rFonts w:ascii="Arial Narrow" w:hAnsi="Arial Narrow" w:cs="Arial"/>
          <w:lang w:val="en"/>
        </w:rPr>
        <w:t xml:space="preserve">To implement the PFS </w:t>
      </w:r>
      <w:r w:rsidR="002B2BA2">
        <w:rPr>
          <w:rFonts w:ascii="Arial Narrow" w:hAnsi="Arial Narrow" w:cs="Arial"/>
          <w:lang w:val="en"/>
        </w:rPr>
        <w:t>g</w:t>
      </w:r>
      <w:r>
        <w:rPr>
          <w:rFonts w:ascii="Arial Narrow" w:hAnsi="Arial Narrow" w:cs="Arial"/>
          <w:lang w:val="en"/>
        </w:rPr>
        <w:t>rant, the Managing Entity shall:</w:t>
      </w:r>
    </w:p>
    <w:p w14:paraId="772696FC" w14:textId="77777777" w:rsidR="00BB5027" w:rsidRPr="00AF379D" w:rsidRDefault="00BB5027" w:rsidP="00AF379D">
      <w:pPr>
        <w:pStyle w:val="ListParagraph"/>
        <w:numPr>
          <w:ilvl w:val="0"/>
          <w:numId w:val="44"/>
        </w:numPr>
        <w:spacing w:before="120" w:after="120" w:line="240" w:lineRule="auto"/>
        <w:contextualSpacing w:val="0"/>
        <w:rPr>
          <w:rFonts w:ascii="Arial Narrow" w:hAnsi="Arial Narrow" w:cs="Arial"/>
        </w:rPr>
      </w:pPr>
      <w:r w:rsidRPr="00AF379D">
        <w:rPr>
          <w:rFonts w:ascii="Arial Narrow" w:hAnsi="Arial Narrow" w:cs="Arial"/>
        </w:rPr>
        <w:t xml:space="preserve">Subcontract with Network Service Provider(s) to establish a DEN as specified in </w:t>
      </w:r>
      <w:r w:rsidRPr="00AF379D">
        <w:rPr>
          <w:rFonts w:ascii="Arial Narrow" w:hAnsi="Arial Narrow" w:cs="Arial"/>
          <w:b/>
        </w:rPr>
        <w:t>Section A</w:t>
      </w:r>
      <w:r w:rsidRPr="00AF379D">
        <w:rPr>
          <w:rFonts w:ascii="Arial Narrow" w:hAnsi="Arial Narrow" w:cs="Arial"/>
        </w:rPr>
        <w:t>; and</w:t>
      </w:r>
    </w:p>
    <w:p w14:paraId="1E7B469F" w14:textId="77777777" w:rsidR="00BB5027" w:rsidRPr="00AF379D" w:rsidRDefault="00BB5027" w:rsidP="00AF379D">
      <w:pPr>
        <w:pStyle w:val="ListParagraph"/>
        <w:numPr>
          <w:ilvl w:val="0"/>
          <w:numId w:val="44"/>
        </w:numPr>
        <w:spacing w:before="120" w:after="120" w:line="240" w:lineRule="auto"/>
        <w:contextualSpacing w:val="0"/>
        <w:rPr>
          <w:rFonts w:ascii="Arial Narrow" w:hAnsi="Arial Narrow" w:cs="Arial"/>
        </w:rPr>
      </w:pPr>
      <w:r w:rsidRPr="00AF379D">
        <w:rPr>
          <w:rFonts w:ascii="Arial Narrow" w:hAnsi="Arial Narrow" w:cs="Arial"/>
        </w:rPr>
        <w:t xml:space="preserve">Subcontract with Network Service Provider(s) to implement school-based prevention programs as specified in </w:t>
      </w:r>
      <w:r w:rsidRPr="00AF379D">
        <w:rPr>
          <w:rFonts w:ascii="Arial Narrow" w:hAnsi="Arial Narrow" w:cs="Arial"/>
          <w:b/>
        </w:rPr>
        <w:t>Section B</w:t>
      </w:r>
      <w:r w:rsidRPr="00AF379D">
        <w:rPr>
          <w:rFonts w:ascii="Arial Narrow" w:hAnsi="Arial Narrow" w:cs="Arial"/>
        </w:rPr>
        <w:t>.</w:t>
      </w:r>
    </w:p>
    <w:p w14:paraId="012B3DE0" w14:textId="72F165C1" w:rsidR="00A11497" w:rsidRPr="0035139C" w:rsidRDefault="00A11497" w:rsidP="0035139C">
      <w:pPr>
        <w:widowControl w:val="0"/>
        <w:autoSpaceDE w:val="0"/>
        <w:autoSpaceDN w:val="0"/>
        <w:spacing w:before="120" w:after="120" w:line="240" w:lineRule="auto"/>
        <w:jc w:val="both"/>
        <w:rPr>
          <w:rFonts w:ascii="Arial Narrow" w:hAnsi="Arial Narrow" w:cs="Arial"/>
          <w:b/>
          <w:u w:val="single"/>
        </w:rPr>
      </w:pPr>
      <w:r>
        <w:rPr>
          <w:rFonts w:ascii="Arial Narrow" w:hAnsi="Arial Narrow" w:cs="Arial"/>
          <w:b/>
          <w:u w:val="single"/>
        </w:rPr>
        <w:t>Reporting</w:t>
      </w:r>
    </w:p>
    <w:p w14:paraId="51013804" w14:textId="1DA29498" w:rsidR="00A11497" w:rsidRPr="0035139C" w:rsidRDefault="00A11497" w:rsidP="0035139C">
      <w:pPr>
        <w:widowControl w:val="0"/>
        <w:autoSpaceDE w:val="0"/>
        <w:autoSpaceDN w:val="0"/>
        <w:spacing w:before="120" w:after="120" w:line="240" w:lineRule="auto"/>
        <w:jc w:val="both"/>
        <w:rPr>
          <w:rFonts w:ascii="Arial Narrow" w:hAnsi="Arial Narrow" w:cs="Arial"/>
          <w:lang w:val="en"/>
        </w:rPr>
      </w:pPr>
      <w:r>
        <w:rPr>
          <w:rFonts w:ascii="Arial Narrow" w:hAnsi="Arial Narrow" w:cs="Arial"/>
        </w:rPr>
        <w:t>The Managing Entity shall ensure subcontractors document a</w:t>
      </w:r>
      <w:r w:rsidRPr="00B42E4B">
        <w:rPr>
          <w:rFonts w:ascii="Arial Narrow" w:hAnsi="Arial Narrow" w:cs="Arial"/>
        </w:rPr>
        <w:t xml:space="preserve">ll </w:t>
      </w:r>
      <w:r>
        <w:rPr>
          <w:rFonts w:ascii="Arial Narrow" w:hAnsi="Arial Narrow" w:cs="Arial"/>
        </w:rPr>
        <w:t xml:space="preserve">PFS-funded </w:t>
      </w:r>
      <w:r w:rsidRPr="00B42E4B">
        <w:rPr>
          <w:rFonts w:ascii="Arial Narrow" w:hAnsi="Arial Narrow" w:cs="Arial"/>
        </w:rPr>
        <w:t xml:space="preserve">activities </w:t>
      </w:r>
      <w:r>
        <w:rPr>
          <w:rFonts w:ascii="Arial Narrow" w:hAnsi="Arial Narrow" w:cs="Arial"/>
        </w:rPr>
        <w:t xml:space="preserve">in the Department’s Performance Based Prevention System (PBPS), as specified in </w:t>
      </w:r>
      <w:r w:rsidRPr="00B42E4B">
        <w:rPr>
          <w:rFonts w:ascii="Arial Narrow" w:hAnsi="Arial Narrow" w:cs="Arial"/>
          <w:b/>
        </w:rPr>
        <w:t>Guidance 10 – Prevention Services</w:t>
      </w:r>
      <w:r>
        <w:rPr>
          <w:rFonts w:ascii="Arial Narrow" w:hAnsi="Arial Narrow" w:cs="Arial"/>
        </w:rPr>
        <w:t xml:space="preserve">. </w:t>
      </w:r>
      <w:r w:rsidRPr="00B42E4B">
        <w:rPr>
          <w:rFonts w:ascii="Arial Narrow" w:hAnsi="Arial Narrow" w:cs="Arial"/>
        </w:rPr>
        <w:t xml:space="preserve">Unless otherwise specified, the </w:t>
      </w:r>
      <w:r>
        <w:rPr>
          <w:rFonts w:ascii="Arial Narrow" w:hAnsi="Arial Narrow" w:cs="Arial"/>
        </w:rPr>
        <w:t xml:space="preserve">Managing Entity may negotiate the </w:t>
      </w:r>
      <w:r w:rsidRPr="00B42E4B">
        <w:rPr>
          <w:rFonts w:ascii="Arial Narrow" w:hAnsi="Arial Narrow" w:cs="Arial"/>
        </w:rPr>
        <w:t xml:space="preserve">frequency, format and approval of </w:t>
      </w:r>
      <w:r>
        <w:rPr>
          <w:rFonts w:ascii="Arial Narrow" w:hAnsi="Arial Narrow" w:cs="Arial"/>
        </w:rPr>
        <w:t>required subcontract reports</w:t>
      </w:r>
      <w:r w:rsidRPr="00B42E4B">
        <w:rPr>
          <w:rFonts w:ascii="Arial Narrow" w:hAnsi="Arial Narrow" w:cs="Arial"/>
        </w:rPr>
        <w:t>.</w:t>
      </w:r>
    </w:p>
    <w:p w14:paraId="348686A2" w14:textId="77777777" w:rsidR="00AF379D" w:rsidRDefault="00AF379D" w:rsidP="00BB5027">
      <w:pPr>
        <w:widowControl w:val="0"/>
        <w:autoSpaceDE w:val="0"/>
        <w:autoSpaceDN w:val="0"/>
        <w:spacing w:before="120" w:after="120" w:line="240" w:lineRule="auto"/>
        <w:jc w:val="both"/>
        <w:rPr>
          <w:rFonts w:ascii="Arial Narrow" w:hAnsi="Arial Narrow" w:cs="Arial"/>
          <w:b/>
          <w:u w:val="single"/>
          <w:lang w:val="en"/>
        </w:rPr>
      </w:pPr>
    </w:p>
    <w:p w14:paraId="7A510C03" w14:textId="5216173E" w:rsidR="00BB5027" w:rsidRPr="00BB5027" w:rsidRDefault="00BB5027" w:rsidP="00BB5027">
      <w:pPr>
        <w:widowControl w:val="0"/>
        <w:autoSpaceDE w:val="0"/>
        <w:autoSpaceDN w:val="0"/>
        <w:spacing w:before="120" w:after="120" w:line="240" w:lineRule="auto"/>
        <w:jc w:val="both"/>
        <w:rPr>
          <w:rFonts w:ascii="Arial Narrow" w:hAnsi="Arial Narrow" w:cs="Arial"/>
          <w:b/>
          <w:u w:val="single"/>
          <w:lang w:val="en"/>
        </w:rPr>
      </w:pPr>
      <w:r w:rsidRPr="00BB5027">
        <w:rPr>
          <w:rFonts w:ascii="Arial Narrow" w:hAnsi="Arial Narrow" w:cs="Arial"/>
          <w:b/>
          <w:u w:val="single"/>
          <w:lang w:val="en"/>
        </w:rPr>
        <w:t xml:space="preserve">Section A: DENs </w:t>
      </w:r>
    </w:p>
    <w:p w14:paraId="32CAA6CF" w14:textId="77777777" w:rsidR="00AF379D" w:rsidRDefault="00666630" w:rsidP="005A2787">
      <w:pPr>
        <w:widowControl w:val="0"/>
        <w:autoSpaceDE w:val="0"/>
        <w:autoSpaceDN w:val="0"/>
        <w:spacing w:before="120" w:after="120" w:line="240" w:lineRule="auto"/>
        <w:jc w:val="both"/>
        <w:rPr>
          <w:rFonts w:ascii="Arial Narrow" w:hAnsi="Arial Narrow" w:cs="Arial"/>
        </w:rPr>
      </w:pPr>
      <w:r>
        <w:rPr>
          <w:rFonts w:ascii="Arial Narrow" w:hAnsi="Arial Narrow" w:cs="Arial"/>
        </w:rPr>
        <w:t xml:space="preserve">To implement the </w:t>
      </w:r>
      <w:r w:rsidR="00E77018">
        <w:rPr>
          <w:rFonts w:ascii="Arial Narrow" w:hAnsi="Arial Narrow" w:cs="Arial"/>
        </w:rPr>
        <w:t>g</w:t>
      </w:r>
      <w:r>
        <w:rPr>
          <w:rFonts w:ascii="Arial Narrow" w:hAnsi="Arial Narrow" w:cs="Arial"/>
        </w:rPr>
        <w:t xml:space="preserve">rant, </w:t>
      </w:r>
      <w:r w:rsidR="00E77018">
        <w:rPr>
          <w:rFonts w:ascii="Arial Narrow" w:hAnsi="Arial Narrow" w:cs="Arial"/>
        </w:rPr>
        <w:t>t</w:t>
      </w:r>
      <w:r w:rsidR="00E77018" w:rsidRPr="00E77018">
        <w:rPr>
          <w:rFonts w:ascii="Arial Narrow" w:hAnsi="Arial Narrow" w:cs="Arial"/>
        </w:rPr>
        <w:t>he Managing Entity shall subcontract with</w:t>
      </w:r>
      <w:r w:rsidR="00DD118E">
        <w:rPr>
          <w:rFonts w:ascii="Arial Narrow" w:hAnsi="Arial Narrow" w:cs="Arial"/>
        </w:rPr>
        <w:t xml:space="preserve"> </w:t>
      </w:r>
      <w:r w:rsidR="00E77018" w:rsidRPr="00E77018">
        <w:rPr>
          <w:rFonts w:ascii="Arial Narrow" w:hAnsi="Arial Narrow" w:cs="Arial"/>
        </w:rPr>
        <w:t>Network Service Provider</w:t>
      </w:r>
      <w:r w:rsidR="00BC29EC">
        <w:rPr>
          <w:rFonts w:ascii="Arial Narrow" w:hAnsi="Arial Narrow" w:cs="Arial"/>
        </w:rPr>
        <w:t>(s)</w:t>
      </w:r>
      <w:r w:rsidR="00E77018" w:rsidRPr="00E77018">
        <w:rPr>
          <w:rFonts w:ascii="Arial Narrow" w:hAnsi="Arial Narrow" w:cs="Arial"/>
        </w:rPr>
        <w:t xml:space="preserve"> to </w:t>
      </w:r>
      <w:r w:rsidR="00C6575A">
        <w:rPr>
          <w:rFonts w:ascii="Arial Narrow" w:hAnsi="Arial Narrow" w:cs="Arial"/>
        </w:rPr>
        <w:t xml:space="preserve">establish </w:t>
      </w:r>
      <w:r w:rsidR="00E77018" w:rsidRPr="00E77018">
        <w:rPr>
          <w:rFonts w:ascii="Arial Narrow" w:hAnsi="Arial Narrow" w:cs="Arial"/>
        </w:rPr>
        <w:t xml:space="preserve">a DEN for </w:t>
      </w:r>
      <w:r w:rsidR="004C14E5">
        <w:rPr>
          <w:rFonts w:ascii="Arial Narrow" w:hAnsi="Arial Narrow" w:cs="Arial"/>
        </w:rPr>
        <w:t xml:space="preserve">each of </w:t>
      </w:r>
      <w:r w:rsidR="00E77018" w:rsidRPr="00E77018">
        <w:rPr>
          <w:rFonts w:ascii="Arial Narrow" w:hAnsi="Arial Narrow" w:cs="Arial"/>
        </w:rPr>
        <w:t xml:space="preserve">the designated counties specified in </w:t>
      </w:r>
      <w:r w:rsidR="00E77018" w:rsidRPr="006D0673">
        <w:rPr>
          <w:rFonts w:ascii="Arial Narrow" w:hAnsi="Arial Narrow" w:cs="Arial"/>
          <w:b/>
        </w:rPr>
        <w:t>Table 1</w:t>
      </w:r>
      <w:r w:rsidR="00E77018" w:rsidRPr="00E77018">
        <w:rPr>
          <w:rFonts w:ascii="Arial Narrow" w:hAnsi="Arial Narrow" w:cs="Arial"/>
        </w:rPr>
        <w:t>.</w:t>
      </w:r>
      <w:r w:rsidR="006A3D9B">
        <w:rPr>
          <w:rFonts w:ascii="Arial Narrow" w:hAnsi="Arial Narrow" w:cs="Arial"/>
        </w:rPr>
        <w:t xml:space="preserve"> </w:t>
      </w:r>
    </w:p>
    <w:p w14:paraId="30151FCF" w14:textId="77777777" w:rsidR="00AF379D" w:rsidRDefault="0074027C" w:rsidP="00AF379D">
      <w:pPr>
        <w:pStyle w:val="ListParagraph"/>
        <w:numPr>
          <w:ilvl w:val="0"/>
          <w:numId w:val="45"/>
        </w:numPr>
        <w:spacing w:before="120" w:after="120" w:line="240" w:lineRule="auto"/>
        <w:contextualSpacing w:val="0"/>
        <w:rPr>
          <w:rFonts w:ascii="Arial Narrow" w:hAnsi="Arial Narrow" w:cs="Arial"/>
        </w:rPr>
      </w:pPr>
      <w:r>
        <w:rPr>
          <w:rFonts w:ascii="Arial Narrow" w:hAnsi="Arial Narrow" w:cs="Arial"/>
        </w:rPr>
        <w:t xml:space="preserve">Each </w:t>
      </w:r>
      <w:r w:rsidR="00C6575A">
        <w:rPr>
          <w:rFonts w:ascii="Arial Narrow" w:hAnsi="Arial Narrow" w:cs="Arial"/>
        </w:rPr>
        <w:t xml:space="preserve">DEN shall include </w:t>
      </w:r>
      <w:r>
        <w:rPr>
          <w:rFonts w:ascii="Arial Narrow" w:hAnsi="Arial Narrow" w:cs="Arial"/>
        </w:rPr>
        <w:t xml:space="preserve">a minimum of </w:t>
      </w:r>
      <w:r w:rsidR="0099210B">
        <w:rPr>
          <w:rFonts w:ascii="Arial Narrow" w:hAnsi="Arial Narrow" w:cs="Arial"/>
        </w:rPr>
        <w:t xml:space="preserve">6 </w:t>
      </w:r>
      <w:r w:rsidR="00C6575A">
        <w:rPr>
          <w:rFonts w:ascii="Arial Narrow" w:hAnsi="Arial Narrow" w:cs="Arial"/>
        </w:rPr>
        <w:t>representatives of the following community stakeholders:</w:t>
      </w:r>
      <w:r w:rsidR="005A2787">
        <w:rPr>
          <w:rFonts w:ascii="Arial Narrow" w:hAnsi="Arial Narrow" w:cs="Arial"/>
        </w:rPr>
        <w:t xml:space="preserve"> public health offices, law enforcement agencies, education and community development, and substance abuse treatment and recovery providers. </w:t>
      </w:r>
    </w:p>
    <w:p w14:paraId="50AD7BEE" w14:textId="77777777" w:rsidR="00AF379D" w:rsidRDefault="005A2787" w:rsidP="00AF379D">
      <w:pPr>
        <w:pStyle w:val="ListParagraph"/>
        <w:numPr>
          <w:ilvl w:val="0"/>
          <w:numId w:val="45"/>
        </w:numPr>
        <w:spacing w:before="120" w:after="120" w:line="240" w:lineRule="auto"/>
        <w:contextualSpacing w:val="0"/>
        <w:rPr>
          <w:rFonts w:ascii="Arial Narrow" w:hAnsi="Arial Narrow" w:cs="Arial"/>
        </w:rPr>
      </w:pPr>
      <w:r w:rsidRPr="00B42E4B">
        <w:rPr>
          <w:rFonts w:ascii="Arial Narrow" w:hAnsi="Arial Narrow" w:cs="Arial"/>
        </w:rPr>
        <w:t>Each DEN</w:t>
      </w:r>
      <w:r>
        <w:rPr>
          <w:rFonts w:ascii="Arial Narrow" w:hAnsi="Arial Narrow" w:cs="Arial"/>
        </w:rPr>
        <w:t xml:space="preserve"> shall </w:t>
      </w:r>
      <w:r w:rsidRPr="00B42E4B">
        <w:rPr>
          <w:rFonts w:ascii="Arial Narrow" w:hAnsi="Arial Narrow" w:cs="Arial"/>
        </w:rPr>
        <w:t xml:space="preserve">perform data compilation, analyses, and reporting </w:t>
      </w:r>
      <w:r>
        <w:rPr>
          <w:rFonts w:ascii="Arial Narrow" w:hAnsi="Arial Narrow" w:cs="Arial"/>
        </w:rPr>
        <w:t xml:space="preserve">functions </w:t>
      </w:r>
      <w:r w:rsidRPr="00B42E4B">
        <w:rPr>
          <w:rFonts w:ascii="Arial Narrow" w:hAnsi="Arial Narrow" w:cs="Arial"/>
        </w:rPr>
        <w:t xml:space="preserve">in conjunction with the State Epidemiological Outcomes Workgroup (SEOW). </w:t>
      </w:r>
    </w:p>
    <w:p w14:paraId="092368FD" w14:textId="77777777" w:rsidR="00AF379D" w:rsidRDefault="005A2787" w:rsidP="00AF379D">
      <w:pPr>
        <w:pStyle w:val="ListParagraph"/>
        <w:numPr>
          <w:ilvl w:val="0"/>
          <w:numId w:val="45"/>
        </w:numPr>
        <w:spacing w:before="120" w:after="120" w:line="240" w:lineRule="auto"/>
        <w:contextualSpacing w:val="0"/>
        <w:rPr>
          <w:rFonts w:ascii="Arial Narrow" w:hAnsi="Arial Narrow" w:cs="Arial"/>
        </w:rPr>
      </w:pPr>
      <w:r>
        <w:rPr>
          <w:rFonts w:ascii="Arial Narrow" w:hAnsi="Arial Narrow" w:cs="Arial"/>
        </w:rPr>
        <w:t>One</w:t>
      </w:r>
      <w:r w:rsidRPr="00B42E4B">
        <w:rPr>
          <w:rFonts w:ascii="Arial Narrow" w:hAnsi="Arial Narrow" w:cs="Arial"/>
        </w:rPr>
        <w:t xml:space="preserve"> representative from each DEN </w:t>
      </w:r>
      <w:r>
        <w:rPr>
          <w:rFonts w:ascii="Arial Narrow" w:hAnsi="Arial Narrow" w:cs="Arial"/>
        </w:rPr>
        <w:t xml:space="preserve">shall </w:t>
      </w:r>
      <w:r w:rsidRPr="00B42E4B">
        <w:rPr>
          <w:rFonts w:ascii="Arial Narrow" w:hAnsi="Arial Narrow" w:cs="Arial"/>
        </w:rPr>
        <w:t xml:space="preserve">attend </w:t>
      </w:r>
      <w:r>
        <w:rPr>
          <w:rFonts w:ascii="Arial Narrow" w:hAnsi="Arial Narrow" w:cs="Arial"/>
        </w:rPr>
        <w:t>an</w:t>
      </w:r>
      <w:r w:rsidRPr="00B42E4B">
        <w:rPr>
          <w:rFonts w:ascii="Arial Narrow" w:hAnsi="Arial Narrow" w:cs="Arial"/>
        </w:rPr>
        <w:t xml:space="preserve"> annual SEOW meeting prior to the delivery of the </w:t>
      </w:r>
      <w:r>
        <w:rPr>
          <w:rFonts w:ascii="Arial Narrow" w:hAnsi="Arial Narrow" w:cs="Arial"/>
        </w:rPr>
        <w:t>SEOW Annual Report</w:t>
      </w:r>
      <w:r w:rsidRPr="00B42E4B">
        <w:rPr>
          <w:rFonts w:ascii="Arial Narrow" w:hAnsi="Arial Narrow" w:cs="Arial"/>
        </w:rPr>
        <w:t xml:space="preserve">. </w:t>
      </w:r>
      <w:r>
        <w:rPr>
          <w:rFonts w:ascii="Arial Narrow" w:hAnsi="Arial Narrow" w:cs="Arial"/>
        </w:rPr>
        <w:t>Additional SEOW</w:t>
      </w:r>
      <w:r w:rsidRPr="00B42E4B">
        <w:rPr>
          <w:rFonts w:ascii="Arial Narrow" w:hAnsi="Arial Narrow" w:cs="Arial"/>
        </w:rPr>
        <w:t xml:space="preserve"> meeting</w:t>
      </w:r>
      <w:r>
        <w:rPr>
          <w:rFonts w:ascii="Arial Narrow" w:hAnsi="Arial Narrow" w:cs="Arial"/>
        </w:rPr>
        <w:t>s</w:t>
      </w:r>
      <w:r w:rsidRPr="00B42E4B">
        <w:rPr>
          <w:rFonts w:ascii="Arial Narrow" w:hAnsi="Arial Narrow" w:cs="Arial"/>
        </w:rPr>
        <w:t xml:space="preserve"> may be </w:t>
      </w:r>
      <w:r>
        <w:rPr>
          <w:rFonts w:ascii="Arial Narrow" w:hAnsi="Arial Narrow" w:cs="Arial"/>
        </w:rPr>
        <w:t xml:space="preserve">conducted in person, via </w:t>
      </w:r>
      <w:r w:rsidRPr="00B42E4B">
        <w:rPr>
          <w:rFonts w:ascii="Arial Narrow" w:hAnsi="Arial Narrow" w:cs="Arial"/>
        </w:rPr>
        <w:t>teleconference</w:t>
      </w:r>
      <w:r>
        <w:rPr>
          <w:rFonts w:ascii="Arial Narrow" w:hAnsi="Arial Narrow" w:cs="Arial"/>
        </w:rPr>
        <w:t xml:space="preserve">, or </w:t>
      </w:r>
      <w:r w:rsidRPr="00B42E4B">
        <w:rPr>
          <w:rFonts w:ascii="Arial Narrow" w:hAnsi="Arial Narrow" w:cs="Arial"/>
        </w:rPr>
        <w:t>webinar.</w:t>
      </w:r>
      <w:r>
        <w:rPr>
          <w:rFonts w:ascii="Arial Narrow" w:hAnsi="Arial Narrow" w:cs="Arial"/>
        </w:rPr>
        <w:t xml:space="preserve"> Funds allocated for DENs may be used to reimburse travel expenses for the annual SEOW meeting, in compliance with state of Florida travel regulations. </w:t>
      </w:r>
    </w:p>
    <w:p w14:paraId="4396EEC7" w14:textId="374C674B" w:rsidR="005A2787" w:rsidRDefault="005A2787" w:rsidP="00AF379D">
      <w:pPr>
        <w:pStyle w:val="ListParagraph"/>
        <w:numPr>
          <w:ilvl w:val="0"/>
          <w:numId w:val="45"/>
        </w:numPr>
        <w:spacing w:before="120" w:after="120" w:line="240" w:lineRule="auto"/>
        <w:contextualSpacing w:val="0"/>
        <w:rPr>
          <w:rFonts w:ascii="Arial Narrow" w:hAnsi="Arial Narrow" w:cs="Arial"/>
        </w:rPr>
      </w:pPr>
      <w:r w:rsidRPr="00B42E4B">
        <w:rPr>
          <w:rFonts w:ascii="Arial Narrow" w:hAnsi="Arial Narrow" w:cs="Arial"/>
        </w:rPr>
        <w:lastRenderedPageBreak/>
        <w:t xml:space="preserve">The </w:t>
      </w:r>
      <w:r>
        <w:rPr>
          <w:rFonts w:ascii="Arial Narrow" w:hAnsi="Arial Narrow" w:cs="Arial"/>
        </w:rPr>
        <w:t xml:space="preserve">PFS </w:t>
      </w:r>
      <w:r w:rsidRPr="00B42E4B">
        <w:rPr>
          <w:rFonts w:ascii="Arial Narrow" w:hAnsi="Arial Narrow" w:cs="Arial"/>
        </w:rPr>
        <w:t>Lead Analyst</w:t>
      </w:r>
      <w:r>
        <w:rPr>
          <w:rFonts w:ascii="Arial Narrow" w:hAnsi="Arial Narrow" w:cs="Arial"/>
        </w:rPr>
        <w:t xml:space="preserve"> and Lead Epidemiologist</w:t>
      </w:r>
      <w:r w:rsidRPr="00B42E4B">
        <w:rPr>
          <w:rFonts w:ascii="Arial Narrow" w:hAnsi="Arial Narrow" w:cs="Arial"/>
        </w:rPr>
        <w:t xml:space="preserve"> </w:t>
      </w:r>
      <w:r>
        <w:rPr>
          <w:rFonts w:ascii="Arial Narrow" w:hAnsi="Arial Narrow" w:cs="Arial"/>
        </w:rPr>
        <w:t xml:space="preserve">shall be responsible for providing technical assistance to </w:t>
      </w:r>
      <w:r w:rsidRPr="00B42E4B">
        <w:rPr>
          <w:rFonts w:ascii="Arial Narrow" w:hAnsi="Arial Narrow" w:cs="Arial"/>
        </w:rPr>
        <w:t xml:space="preserve">DENs to facilitate group development and data compilation, analysis, and reporting efforts.  </w:t>
      </w:r>
    </w:p>
    <w:tbl>
      <w:tblPr>
        <w:tblStyle w:val="Style1"/>
        <w:tblW w:w="0" w:type="auto"/>
        <w:jc w:val="center"/>
        <w:tblLook w:val="04A0" w:firstRow="1" w:lastRow="0" w:firstColumn="1" w:lastColumn="0" w:noHBand="0" w:noVBand="1"/>
      </w:tblPr>
      <w:tblGrid>
        <w:gridCol w:w="3906"/>
        <w:gridCol w:w="1931"/>
      </w:tblGrid>
      <w:tr w:rsidR="00E42B36" w:rsidRPr="00D74CBA" w14:paraId="752BFCD8" w14:textId="77777777" w:rsidTr="00AF379D">
        <w:trPr>
          <w:cnfStyle w:val="100000000000" w:firstRow="1" w:lastRow="0" w:firstColumn="0" w:lastColumn="0" w:oddVBand="0" w:evenVBand="0" w:oddHBand="0" w:evenHBand="0" w:firstRowFirstColumn="0" w:firstRowLastColumn="0" w:lastRowFirstColumn="0" w:lastRowLastColumn="0"/>
          <w:jc w:val="center"/>
        </w:trPr>
        <w:tc>
          <w:tcPr>
            <w:tcW w:w="0" w:type="auto"/>
            <w:gridSpan w:val="2"/>
            <w:shd w:val="clear" w:color="auto" w:fill="D6E3BC" w:themeFill="accent3" w:themeFillTint="66"/>
          </w:tcPr>
          <w:p w14:paraId="1F9368E6" w14:textId="3AA7B830" w:rsidR="00E42B36" w:rsidRPr="00B42E4B" w:rsidRDefault="00E42B36" w:rsidP="00AF379D">
            <w:pPr>
              <w:widowControl w:val="0"/>
              <w:autoSpaceDE w:val="0"/>
              <w:autoSpaceDN w:val="0"/>
              <w:spacing w:before="120" w:after="120"/>
              <w:contextualSpacing/>
              <w:jc w:val="center"/>
              <w:rPr>
                <w:rFonts w:ascii="Arial Narrow" w:hAnsi="Arial Narrow" w:cs="Arial"/>
                <w:b/>
              </w:rPr>
            </w:pPr>
            <w:r w:rsidRPr="00B42E4B">
              <w:rPr>
                <w:rFonts w:ascii="Arial Narrow" w:hAnsi="Arial Narrow" w:cs="Arial"/>
                <w:b/>
              </w:rPr>
              <w:t xml:space="preserve">Table 1 – </w:t>
            </w:r>
            <w:r w:rsidR="002B2BA2">
              <w:rPr>
                <w:rFonts w:ascii="Arial Narrow" w:hAnsi="Arial Narrow" w:cs="Arial"/>
                <w:b/>
              </w:rPr>
              <w:t>Managing Entity DEN Assignments</w:t>
            </w:r>
          </w:p>
        </w:tc>
      </w:tr>
      <w:tr w:rsidR="00E42B36" w:rsidRPr="00D74CBA" w14:paraId="558F2530" w14:textId="77777777" w:rsidTr="00AF379D">
        <w:trPr>
          <w:jc w:val="center"/>
        </w:trPr>
        <w:tc>
          <w:tcPr>
            <w:tcW w:w="0" w:type="auto"/>
            <w:shd w:val="clear" w:color="auto" w:fill="DBE5F1" w:themeFill="accent1" w:themeFillTint="33"/>
          </w:tcPr>
          <w:p w14:paraId="338FDAA3" w14:textId="77777777" w:rsidR="00E42B36" w:rsidRPr="00B42E4B" w:rsidRDefault="00E42B36" w:rsidP="00AF379D">
            <w:pPr>
              <w:widowControl w:val="0"/>
              <w:autoSpaceDE w:val="0"/>
              <w:autoSpaceDN w:val="0"/>
              <w:spacing w:before="120" w:after="120"/>
              <w:contextualSpacing/>
              <w:jc w:val="center"/>
              <w:rPr>
                <w:rFonts w:ascii="Arial Narrow" w:hAnsi="Arial Narrow" w:cs="Arial"/>
                <w:b/>
              </w:rPr>
            </w:pPr>
            <w:r w:rsidRPr="00B42E4B">
              <w:rPr>
                <w:rFonts w:ascii="Arial Narrow" w:hAnsi="Arial Narrow" w:cs="Arial"/>
                <w:b/>
              </w:rPr>
              <w:t>Managing Entity</w:t>
            </w:r>
          </w:p>
        </w:tc>
        <w:tc>
          <w:tcPr>
            <w:tcW w:w="0" w:type="auto"/>
            <w:shd w:val="clear" w:color="auto" w:fill="DBE5F1" w:themeFill="accent1" w:themeFillTint="33"/>
          </w:tcPr>
          <w:p w14:paraId="30C375E8" w14:textId="77777777" w:rsidR="00E42B36" w:rsidRPr="00B42E4B" w:rsidRDefault="00E42B36" w:rsidP="00AF379D">
            <w:pPr>
              <w:widowControl w:val="0"/>
              <w:autoSpaceDE w:val="0"/>
              <w:autoSpaceDN w:val="0"/>
              <w:spacing w:before="120" w:after="120"/>
              <w:contextualSpacing/>
              <w:jc w:val="center"/>
              <w:rPr>
                <w:rFonts w:ascii="Arial Narrow" w:hAnsi="Arial Narrow" w:cs="Arial"/>
                <w:b/>
              </w:rPr>
            </w:pPr>
            <w:r w:rsidRPr="00B42E4B">
              <w:rPr>
                <w:rFonts w:ascii="Arial Narrow" w:hAnsi="Arial Narrow" w:cs="Arial"/>
                <w:b/>
              </w:rPr>
              <w:t>County</w:t>
            </w:r>
          </w:p>
        </w:tc>
      </w:tr>
      <w:tr w:rsidR="00E42B36" w14:paraId="77FB6FC7" w14:textId="77777777" w:rsidTr="00AF379D">
        <w:trPr>
          <w:jc w:val="center"/>
        </w:trPr>
        <w:tc>
          <w:tcPr>
            <w:tcW w:w="0" w:type="auto"/>
            <w:vMerge w:val="restart"/>
            <w:vAlign w:val="center"/>
          </w:tcPr>
          <w:p w14:paraId="6F928F75"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Big Bend Community Based Care</w:t>
            </w:r>
          </w:p>
        </w:tc>
        <w:tc>
          <w:tcPr>
            <w:tcW w:w="0" w:type="auto"/>
          </w:tcPr>
          <w:p w14:paraId="6496605B" w14:textId="77777777" w:rsidR="00E42B36" w:rsidRDefault="00E42B36" w:rsidP="00AF379D">
            <w:pPr>
              <w:widowControl w:val="0"/>
              <w:autoSpaceDE w:val="0"/>
              <w:autoSpaceDN w:val="0"/>
              <w:spacing w:before="120" w:after="120"/>
              <w:contextualSpacing/>
              <w:rPr>
                <w:rFonts w:ascii="Arial Narrow" w:hAnsi="Arial Narrow" w:cs="Arial"/>
              </w:rPr>
            </w:pPr>
            <w:r w:rsidRPr="00D74CBA">
              <w:rPr>
                <w:rFonts w:ascii="Arial Narrow" w:hAnsi="Arial Narrow" w:cs="Arial"/>
              </w:rPr>
              <w:t>Franklin</w:t>
            </w:r>
            <w:r>
              <w:rPr>
                <w:rFonts w:ascii="Arial Narrow" w:hAnsi="Arial Narrow" w:cs="Arial"/>
              </w:rPr>
              <w:t xml:space="preserve"> County </w:t>
            </w:r>
          </w:p>
        </w:tc>
      </w:tr>
      <w:tr w:rsidR="00E42B36" w14:paraId="27606EEF" w14:textId="77777777" w:rsidTr="00AF379D">
        <w:trPr>
          <w:jc w:val="center"/>
        </w:trPr>
        <w:tc>
          <w:tcPr>
            <w:tcW w:w="0" w:type="auto"/>
            <w:vMerge/>
          </w:tcPr>
          <w:p w14:paraId="03FC14A4" w14:textId="77777777" w:rsidR="00E42B36" w:rsidRDefault="00E42B36" w:rsidP="00AF379D">
            <w:pPr>
              <w:widowControl w:val="0"/>
              <w:autoSpaceDE w:val="0"/>
              <w:autoSpaceDN w:val="0"/>
              <w:spacing w:before="120" w:after="120"/>
              <w:contextualSpacing/>
              <w:rPr>
                <w:rFonts w:ascii="Arial Narrow" w:hAnsi="Arial Narrow" w:cs="Arial"/>
              </w:rPr>
            </w:pPr>
          </w:p>
        </w:tc>
        <w:tc>
          <w:tcPr>
            <w:tcW w:w="0" w:type="auto"/>
          </w:tcPr>
          <w:p w14:paraId="78B0880E"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 xml:space="preserve">Walton County </w:t>
            </w:r>
          </w:p>
        </w:tc>
      </w:tr>
      <w:tr w:rsidR="00E42B36" w14:paraId="3C93A426" w14:textId="77777777" w:rsidTr="00AF379D">
        <w:trPr>
          <w:jc w:val="center"/>
        </w:trPr>
        <w:tc>
          <w:tcPr>
            <w:tcW w:w="0" w:type="auto"/>
            <w:vMerge/>
          </w:tcPr>
          <w:p w14:paraId="398C8564" w14:textId="77777777" w:rsidR="00E42B36" w:rsidRDefault="00E42B36" w:rsidP="00AF379D">
            <w:pPr>
              <w:widowControl w:val="0"/>
              <w:autoSpaceDE w:val="0"/>
              <w:autoSpaceDN w:val="0"/>
              <w:spacing w:before="120" w:after="120"/>
              <w:contextualSpacing/>
              <w:rPr>
                <w:rFonts w:ascii="Arial Narrow" w:hAnsi="Arial Narrow" w:cs="Arial"/>
              </w:rPr>
            </w:pPr>
          </w:p>
        </w:tc>
        <w:tc>
          <w:tcPr>
            <w:tcW w:w="0" w:type="auto"/>
          </w:tcPr>
          <w:p w14:paraId="5EE61A81"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Washington County</w:t>
            </w:r>
          </w:p>
        </w:tc>
      </w:tr>
      <w:tr w:rsidR="00E42B36" w14:paraId="56AE6871" w14:textId="77777777" w:rsidTr="00AF379D">
        <w:trPr>
          <w:jc w:val="center"/>
        </w:trPr>
        <w:tc>
          <w:tcPr>
            <w:tcW w:w="0" w:type="auto"/>
          </w:tcPr>
          <w:p w14:paraId="070D251E"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Broward Behavioral Health Coalition</w:t>
            </w:r>
          </w:p>
        </w:tc>
        <w:tc>
          <w:tcPr>
            <w:tcW w:w="0" w:type="auto"/>
          </w:tcPr>
          <w:p w14:paraId="1E55A52D"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 xml:space="preserve">Broward County </w:t>
            </w:r>
          </w:p>
        </w:tc>
      </w:tr>
      <w:tr w:rsidR="00E42B36" w14:paraId="140E80EF" w14:textId="77777777" w:rsidTr="00AF379D">
        <w:trPr>
          <w:jc w:val="center"/>
        </w:trPr>
        <w:tc>
          <w:tcPr>
            <w:tcW w:w="0" w:type="auto"/>
            <w:vMerge w:val="restart"/>
          </w:tcPr>
          <w:p w14:paraId="7BE9A09F"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 xml:space="preserve">Central Florida Behavioral Health </w:t>
            </w:r>
            <w:r w:rsidR="00BC29EC">
              <w:rPr>
                <w:rFonts w:ascii="Arial Narrow" w:hAnsi="Arial Narrow" w:cs="Arial"/>
              </w:rPr>
              <w:t>Network</w:t>
            </w:r>
          </w:p>
        </w:tc>
        <w:tc>
          <w:tcPr>
            <w:tcW w:w="0" w:type="auto"/>
          </w:tcPr>
          <w:p w14:paraId="4CC3F157"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Hillsborough County</w:t>
            </w:r>
          </w:p>
        </w:tc>
      </w:tr>
      <w:tr w:rsidR="00E42B36" w14:paraId="5DD96A6F" w14:textId="77777777" w:rsidTr="00AF379D">
        <w:trPr>
          <w:jc w:val="center"/>
        </w:trPr>
        <w:tc>
          <w:tcPr>
            <w:tcW w:w="0" w:type="auto"/>
            <w:vMerge/>
          </w:tcPr>
          <w:p w14:paraId="0B74FAA3" w14:textId="77777777" w:rsidR="00E42B36" w:rsidRDefault="00E42B36" w:rsidP="00AF379D">
            <w:pPr>
              <w:widowControl w:val="0"/>
              <w:autoSpaceDE w:val="0"/>
              <w:autoSpaceDN w:val="0"/>
              <w:spacing w:before="120" w:after="120"/>
              <w:contextualSpacing/>
              <w:rPr>
                <w:rFonts w:ascii="Arial Narrow" w:hAnsi="Arial Narrow" w:cs="Arial"/>
              </w:rPr>
            </w:pPr>
          </w:p>
        </w:tc>
        <w:tc>
          <w:tcPr>
            <w:tcW w:w="0" w:type="auto"/>
          </w:tcPr>
          <w:p w14:paraId="21C00054"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Manatee County</w:t>
            </w:r>
          </w:p>
        </w:tc>
      </w:tr>
      <w:tr w:rsidR="00E42B36" w14:paraId="65A7C582" w14:textId="77777777" w:rsidTr="00AF379D">
        <w:trPr>
          <w:jc w:val="center"/>
        </w:trPr>
        <w:tc>
          <w:tcPr>
            <w:tcW w:w="0" w:type="auto"/>
          </w:tcPr>
          <w:p w14:paraId="78D50EF2"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Lutheran Services Florida</w:t>
            </w:r>
          </w:p>
        </w:tc>
        <w:tc>
          <w:tcPr>
            <w:tcW w:w="0" w:type="auto"/>
          </w:tcPr>
          <w:p w14:paraId="20AB45F7"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Duval County</w:t>
            </w:r>
          </w:p>
        </w:tc>
      </w:tr>
      <w:tr w:rsidR="00E42B36" w14:paraId="6FD14568" w14:textId="77777777" w:rsidTr="00AF379D">
        <w:trPr>
          <w:jc w:val="center"/>
        </w:trPr>
        <w:tc>
          <w:tcPr>
            <w:tcW w:w="0" w:type="auto"/>
          </w:tcPr>
          <w:p w14:paraId="7050EF94"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Southeast Florida Behavioral Health Network</w:t>
            </w:r>
          </w:p>
        </w:tc>
        <w:tc>
          <w:tcPr>
            <w:tcW w:w="0" w:type="auto"/>
          </w:tcPr>
          <w:p w14:paraId="6C03FB6C" w14:textId="77777777" w:rsidR="00E42B36" w:rsidRDefault="00E42B36" w:rsidP="00AF379D">
            <w:pPr>
              <w:widowControl w:val="0"/>
              <w:autoSpaceDE w:val="0"/>
              <w:autoSpaceDN w:val="0"/>
              <w:spacing w:before="120" w:after="120"/>
              <w:contextualSpacing/>
              <w:rPr>
                <w:rFonts w:ascii="Arial Narrow" w:hAnsi="Arial Narrow" w:cs="Arial"/>
              </w:rPr>
            </w:pPr>
            <w:r>
              <w:rPr>
                <w:rFonts w:ascii="Arial Narrow" w:hAnsi="Arial Narrow" w:cs="Arial"/>
              </w:rPr>
              <w:t xml:space="preserve">Palm Beach County </w:t>
            </w:r>
          </w:p>
        </w:tc>
      </w:tr>
    </w:tbl>
    <w:p w14:paraId="098BC572" w14:textId="77777777" w:rsidR="00B67C80" w:rsidRPr="00B42E4B" w:rsidRDefault="00B67C80" w:rsidP="00AF379D">
      <w:pPr>
        <w:pStyle w:val="ListParagraph"/>
        <w:numPr>
          <w:ilvl w:val="0"/>
          <w:numId w:val="45"/>
        </w:numPr>
        <w:spacing w:before="120" w:after="120" w:line="240" w:lineRule="auto"/>
        <w:contextualSpacing w:val="0"/>
        <w:rPr>
          <w:rFonts w:ascii="Arial Narrow" w:hAnsi="Arial Narrow" w:cs="Arial"/>
          <w:b/>
        </w:rPr>
      </w:pPr>
      <w:r w:rsidRPr="00B42E4B">
        <w:rPr>
          <w:rFonts w:ascii="Arial Narrow" w:hAnsi="Arial Narrow" w:cs="Arial"/>
          <w:b/>
        </w:rPr>
        <w:t>Reporting</w:t>
      </w:r>
    </w:p>
    <w:p w14:paraId="5222595D" w14:textId="6BE2A18A" w:rsidR="00C84464" w:rsidRDefault="00A86BC6">
      <w:pPr>
        <w:widowControl w:val="0"/>
        <w:autoSpaceDE w:val="0"/>
        <w:autoSpaceDN w:val="0"/>
        <w:spacing w:before="120" w:after="120" w:line="240" w:lineRule="auto"/>
        <w:ind w:left="360"/>
        <w:jc w:val="both"/>
        <w:rPr>
          <w:rFonts w:ascii="Arial Narrow" w:hAnsi="Arial Narrow" w:cs="Arial"/>
        </w:rPr>
      </w:pPr>
      <w:r w:rsidRPr="0035139C">
        <w:rPr>
          <w:rFonts w:ascii="Arial Narrow" w:hAnsi="Arial Narrow" w:cs="Arial"/>
        </w:rPr>
        <w:t xml:space="preserve">The Managing Entity shall execute subcontracts according to the terms of award which will be incorporated by reference into each subcontract. </w:t>
      </w:r>
      <w:r w:rsidR="00B67C80" w:rsidRPr="00B42E4B">
        <w:rPr>
          <w:rFonts w:ascii="Arial Narrow" w:hAnsi="Arial Narrow" w:cs="Arial"/>
        </w:rPr>
        <w:t>At a minimum, subcontracts shall require the following report</w:t>
      </w:r>
      <w:r w:rsidR="008E3A3E">
        <w:rPr>
          <w:rFonts w:ascii="Arial Narrow" w:hAnsi="Arial Narrow" w:cs="Arial"/>
        </w:rPr>
        <w:t>ing elements</w:t>
      </w:r>
      <w:r w:rsidR="00B67C80" w:rsidRPr="00B42E4B">
        <w:rPr>
          <w:rFonts w:ascii="Arial Narrow" w:hAnsi="Arial Narrow" w:cs="Arial"/>
        </w:rPr>
        <w:t>:</w:t>
      </w:r>
    </w:p>
    <w:p w14:paraId="38B14C67" w14:textId="77777777" w:rsidR="00D157B7" w:rsidRDefault="00CD1DBB" w:rsidP="00D157B7">
      <w:pPr>
        <w:pStyle w:val="ListParagraph"/>
        <w:widowControl w:val="0"/>
        <w:numPr>
          <w:ilvl w:val="0"/>
          <w:numId w:val="39"/>
        </w:numPr>
        <w:autoSpaceDE w:val="0"/>
        <w:autoSpaceDN w:val="0"/>
        <w:spacing w:before="120" w:after="120" w:line="240" w:lineRule="auto"/>
        <w:jc w:val="both"/>
        <w:rPr>
          <w:rFonts w:ascii="Arial Narrow" w:hAnsi="Arial Narrow" w:cs="Arial"/>
          <w:b/>
        </w:rPr>
      </w:pPr>
      <w:r w:rsidRPr="0035139C">
        <w:rPr>
          <w:rFonts w:ascii="Arial Narrow" w:hAnsi="Arial Narrow" w:cs="Arial"/>
          <w:b/>
        </w:rPr>
        <w:t xml:space="preserve">Monthly </w:t>
      </w:r>
      <w:r w:rsidR="00346EC1" w:rsidRPr="0035139C">
        <w:rPr>
          <w:rFonts w:ascii="Arial Narrow" w:hAnsi="Arial Narrow" w:cs="Arial"/>
          <w:b/>
        </w:rPr>
        <w:t xml:space="preserve">Process Data </w:t>
      </w:r>
    </w:p>
    <w:p w14:paraId="1AB78FBB" w14:textId="336C0B91" w:rsidR="00D157B7" w:rsidRDefault="00346EC1" w:rsidP="00D157B7">
      <w:pPr>
        <w:pStyle w:val="ListParagraph"/>
        <w:widowControl w:val="0"/>
        <w:autoSpaceDE w:val="0"/>
        <w:autoSpaceDN w:val="0"/>
        <w:spacing w:before="120" w:after="120" w:line="240" w:lineRule="auto"/>
        <w:ind w:left="1080"/>
        <w:jc w:val="both"/>
        <w:rPr>
          <w:rFonts w:ascii="Arial Narrow" w:hAnsi="Arial Narrow" w:cs="Arial"/>
        </w:rPr>
      </w:pPr>
      <w:r w:rsidRPr="00D157B7">
        <w:rPr>
          <w:rFonts w:ascii="Arial Narrow" w:hAnsi="Arial Narrow" w:cs="Arial"/>
        </w:rPr>
        <w:t xml:space="preserve">Each </w:t>
      </w:r>
      <w:r w:rsidR="00AF379D">
        <w:rPr>
          <w:rFonts w:ascii="Arial Narrow" w:hAnsi="Arial Narrow" w:cs="Arial"/>
        </w:rPr>
        <w:t xml:space="preserve">Network Service Provider </w:t>
      </w:r>
      <w:r w:rsidRPr="00D157B7">
        <w:rPr>
          <w:rFonts w:ascii="Arial Narrow" w:hAnsi="Arial Narrow" w:cs="Arial"/>
        </w:rPr>
        <w:t xml:space="preserve">shall upload </w:t>
      </w:r>
      <w:r w:rsidR="00A65BEC" w:rsidRPr="00D157B7">
        <w:rPr>
          <w:rFonts w:ascii="Arial Narrow" w:hAnsi="Arial Narrow" w:cs="Arial"/>
        </w:rPr>
        <w:t xml:space="preserve">monthly data </w:t>
      </w:r>
      <w:r w:rsidRPr="00D157B7">
        <w:rPr>
          <w:rFonts w:ascii="Arial Narrow" w:hAnsi="Arial Narrow" w:cs="Arial"/>
        </w:rPr>
        <w:t>of the services and activities performed by the DENs</w:t>
      </w:r>
      <w:r w:rsidR="00520F72">
        <w:rPr>
          <w:rFonts w:ascii="Arial Narrow" w:hAnsi="Arial Narrow" w:cs="Arial"/>
        </w:rPr>
        <w:t>.</w:t>
      </w:r>
      <w:r w:rsidRPr="00D157B7">
        <w:rPr>
          <w:rFonts w:ascii="Arial Narrow" w:hAnsi="Arial Narrow" w:cs="Arial"/>
        </w:rPr>
        <w:t xml:space="preserve"> </w:t>
      </w:r>
    </w:p>
    <w:p w14:paraId="21C73398" w14:textId="77777777" w:rsidR="00D157B7" w:rsidRPr="00D157B7" w:rsidRDefault="00D157B7" w:rsidP="00D157B7">
      <w:pPr>
        <w:pStyle w:val="ListParagraph"/>
        <w:widowControl w:val="0"/>
        <w:autoSpaceDE w:val="0"/>
        <w:autoSpaceDN w:val="0"/>
        <w:spacing w:before="120" w:after="120" w:line="240" w:lineRule="auto"/>
        <w:ind w:left="1080"/>
        <w:jc w:val="both"/>
        <w:rPr>
          <w:rFonts w:ascii="Arial Narrow" w:hAnsi="Arial Narrow" w:cs="Arial"/>
        </w:rPr>
      </w:pPr>
    </w:p>
    <w:p w14:paraId="7E422A63" w14:textId="77777777" w:rsidR="00D157B7" w:rsidRDefault="00D157B7" w:rsidP="00D157B7">
      <w:pPr>
        <w:pStyle w:val="ListParagraph"/>
        <w:widowControl w:val="0"/>
        <w:numPr>
          <w:ilvl w:val="0"/>
          <w:numId w:val="39"/>
        </w:numPr>
        <w:autoSpaceDE w:val="0"/>
        <w:autoSpaceDN w:val="0"/>
        <w:spacing w:before="120" w:after="120" w:line="240" w:lineRule="auto"/>
        <w:jc w:val="both"/>
        <w:rPr>
          <w:rFonts w:ascii="Arial Narrow" w:hAnsi="Arial Narrow" w:cs="Arial"/>
          <w:b/>
        </w:rPr>
      </w:pPr>
      <w:r>
        <w:rPr>
          <w:rFonts w:ascii="Arial Narrow" w:hAnsi="Arial Narrow" w:cs="Arial"/>
          <w:b/>
        </w:rPr>
        <w:t>Annual DEN Surveillance Report</w:t>
      </w:r>
    </w:p>
    <w:p w14:paraId="0BC3771C" w14:textId="224AE382" w:rsidR="00D157B7" w:rsidRPr="00D157B7" w:rsidRDefault="00AF379D" w:rsidP="00D157B7">
      <w:pPr>
        <w:pStyle w:val="ListParagraph"/>
        <w:widowControl w:val="0"/>
        <w:tabs>
          <w:tab w:val="left" w:pos="1260"/>
        </w:tabs>
        <w:autoSpaceDE w:val="0"/>
        <w:autoSpaceDN w:val="0"/>
        <w:spacing w:before="120" w:after="120" w:line="240" w:lineRule="auto"/>
        <w:ind w:left="1080"/>
        <w:contextualSpacing w:val="0"/>
        <w:jc w:val="both"/>
        <w:rPr>
          <w:rFonts w:ascii="Arial Narrow" w:hAnsi="Arial Narrow" w:cs="Arial"/>
        </w:rPr>
      </w:pPr>
      <w:r>
        <w:rPr>
          <w:rFonts w:ascii="Arial Narrow" w:hAnsi="Arial Narrow" w:cs="Arial"/>
        </w:rPr>
        <w:t>Each Network Service Provider</w:t>
      </w:r>
      <w:r w:rsidR="00D157B7" w:rsidRPr="00D157B7">
        <w:rPr>
          <w:rFonts w:ascii="Arial Narrow" w:hAnsi="Arial Narrow" w:cs="Arial"/>
        </w:rPr>
        <w:t xml:space="preserve"> shall report county-level data </w:t>
      </w:r>
      <w:r>
        <w:rPr>
          <w:rFonts w:ascii="Arial Narrow" w:hAnsi="Arial Narrow" w:cs="Arial"/>
        </w:rPr>
        <w:t xml:space="preserve">on behalf of the DEN </w:t>
      </w:r>
      <w:r w:rsidR="00D157B7" w:rsidRPr="00D157B7">
        <w:rPr>
          <w:rFonts w:ascii="Arial Narrow" w:hAnsi="Arial Narrow" w:cs="Arial"/>
        </w:rPr>
        <w:t xml:space="preserve">by conducting an analysis of the data elements specified in </w:t>
      </w:r>
      <w:r w:rsidR="00D157B7" w:rsidRPr="00D157B7">
        <w:rPr>
          <w:rFonts w:ascii="Arial Narrow" w:hAnsi="Arial Narrow" w:cs="Arial"/>
          <w:b/>
        </w:rPr>
        <w:t>Template 19 – Drug Epidemiology Network (DEN) Surveillance Report</w:t>
      </w:r>
      <w:r w:rsidR="00D157B7" w:rsidRPr="00D157B7">
        <w:rPr>
          <w:rFonts w:ascii="Arial Narrow" w:hAnsi="Arial Narrow" w:cs="Arial"/>
        </w:rPr>
        <w:t xml:space="preserve"> no later than </w:t>
      </w:r>
      <w:r w:rsidR="00D157B7" w:rsidRPr="00D157B7">
        <w:rPr>
          <w:rFonts w:ascii="Arial Narrow" w:hAnsi="Arial Narrow" w:cs="Arial"/>
          <w:b/>
        </w:rPr>
        <w:t>July 31</w:t>
      </w:r>
      <w:r>
        <w:rPr>
          <w:rFonts w:ascii="Arial Narrow" w:hAnsi="Arial Narrow" w:cs="Arial"/>
          <w:b/>
        </w:rPr>
        <w:t xml:space="preserve"> annually</w:t>
      </w:r>
      <w:r w:rsidR="00D157B7" w:rsidRPr="00D157B7">
        <w:rPr>
          <w:rFonts w:ascii="Arial Narrow" w:hAnsi="Arial Narrow" w:cs="Arial"/>
        </w:rPr>
        <w:t xml:space="preserve">. </w:t>
      </w:r>
    </w:p>
    <w:p w14:paraId="652E4F48" w14:textId="77777777" w:rsidR="00D157B7" w:rsidRDefault="00D157B7" w:rsidP="00D157B7">
      <w:pPr>
        <w:pStyle w:val="ListParagraph"/>
        <w:widowControl w:val="0"/>
        <w:numPr>
          <w:ilvl w:val="0"/>
          <w:numId w:val="39"/>
        </w:numPr>
        <w:autoSpaceDE w:val="0"/>
        <w:autoSpaceDN w:val="0"/>
        <w:spacing w:before="120" w:after="120" w:line="240" w:lineRule="auto"/>
        <w:jc w:val="both"/>
        <w:rPr>
          <w:rFonts w:ascii="Arial Narrow" w:hAnsi="Arial Narrow" w:cs="Arial"/>
          <w:b/>
        </w:rPr>
      </w:pPr>
      <w:r>
        <w:rPr>
          <w:rFonts w:ascii="Arial Narrow" w:hAnsi="Arial Narrow" w:cs="Arial"/>
          <w:b/>
        </w:rPr>
        <w:t xml:space="preserve">Annual Outcome Data </w:t>
      </w:r>
    </w:p>
    <w:p w14:paraId="13F88416" w14:textId="4A6A55F0" w:rsidR="00B67C80" w:rsidRPr="00D157B7" w:rsidRDefault="00AD35B4" w:rsidP="00D157B7">
      <w:pPr>
        <w:pStyle w:val="ListParagraph"/>
        <w:ind w:left="1080"/>
        <w:rPr>
          <w:rFonts w:ascii="Arial Narrow" w:hAnsi="Arial Narrow"/>
          <w:b/>
        </w:rPr>
      </w:pPr>
      <w:r w:rsidRPr="00D157B7">
        <w:rPr>
          <w:rFonts w:ascii="Arial Narrow" w:hAnsi="Arial Narrow" w:cs="Arial"/>
        </w:rPr>
        <w:t xml:space="preserve">Each </w:t>
      </w:r>
      <w:r w:rsidR="00AF379D" w:rsidRPr="00AF379D">
        <w:rPr>
          <w:rFonts w:ascii="Arial Narrow" w:hAnsi="Arial Narrow" w:cs="Arial"/>
        </w:rPr>
        <w:t>Network Service Provider</w:t>
      </w:r>
      <w:r w:rsidR="00E8597C" w:rsidRPr="00D157B7">
        <w:rPr>
          <w:rFonts w:ascii="Arial Narrow" w:hAnsi="Arial Narrow" w:cs="Arial"/>
        </w:rPr>
        <w:t xml:space="preserve"> </w:t>
      </w:r>
      <w:r w:rsidRPr="00D157B7">
        <w:rPr>
          <w:rFonts w:ascii="Arial Narrow" w:hAnsi="Arial Narrow" w:cs="Arial"/>
        </w:rPr>
        <w:t>shall enter a</w:t>
      </w:r>
      <w:r w:rsidR="009C4E7E" w:rsidRPr="00D157B7">
        <w:rPr>
          <w:rFonts w:ascii="Arial Narrow" w:hAnsi="Arial Narrow" w:cs="Arial"/>
        </w:rPr>
        <w:t xml:space="preserve">nnual outcome data </w:t>
      </w:r>
      <w:r w:rsidR="003D6486" w:rsidRPr="00D157B7">
        <w:rPr>
          <w:rFonts w:ascii="Arial Narrow" w:hAnsi="Arial Narrow" w:cs="Arial"/>
        </w:rPr>
        <w:t>into</w:t>
      </w:r>
      <w:r w:rsidR="003D1500" w:rsidRPr="00D157B7">
        <w:rPr>
          <w:rFonts w:ascii="Arial Narrow" w:hAnsi="Arial Narrow" w:cs="Arial"/>
        </w:rPr>
        <w:t xml:space="preserve"> PBPS </w:t>
      </w:r>
      <w:r w:rsidR="004E0E83" w:rsidRPr="00D157B7">
        <w:rPr>
          <w:rFonts w:ascii="Arial Narrow" w:hAnsi="Arial Narrow" w:cs="Arial"/>
        </w:rPr>
        <w:t xml:space="preserve">no later than </w:t>
      </w:r>
      <w:r w:rsidR="00A93913" w:rsidRPr="00D157B7">
        <w:rPr>
          <w:rFonts w:ascii="Arial Narrow" w:hAnsi="Arial Narrow" w:cs="Arial"/>
          <w:b/>
        </w:rPr>
        <w:t>July 31</w:t>
      </w:r>
      <w:r w:rsidR="00C6575A" w:rsidRPr="00D157B7">
        <w:rPr>
          <w:rFonts w:ascii="Arial Narrow" w:hAnsi="Arial Narrow" w:cs="Arial"/>
        </w:rPr>
        <w:t xml:space="preserve"> </w:t>
      </w:r>
      <w:r w:rsidR="00AF379D">
        <w:rPr>
          <w:rFonts w:ascii="Arial Narrow" w:hAnsi="Arial Narrow" w:cs="Arial"/>
        </w:rPr>
        <w:t>annually</w:t>
      </w:r>
      <w:r w:rsidR="00C6575A" w:rsidRPr="00D157B7">
        <w:rPr>
          <w:rFonts w:ascii="Arial Narrow" w:hAnsi="Arial Narrow" w:cs="Arial"/>
        </w:rPr>
        <w:t>,</w:t>
      </w:r>
      <w:r w:rsidR="003D1500" w:rsidRPr="00D157B7">
        <w:rPr>
          <w:rFonts w:ascii="Arial Narrow" w:hAnsi="Arial Narrow" w:cs="Arial"/>
        </w:rPr>
        <w:t xml:space="preserve"> in coordination with the Lead </w:t>
      </w:r>
      <w:r w:rsidR="00ED46CC" w:rsidRPr="00D157B7">
        <w:rPr>
          <w:rFonts w:ascii="Arial Narrow" w:hAnsi="Arial Narrow" w:cs="Arial"/>
        </w:rPr>
        <w:t>Epidemiologist</w:t>
      </w:r>
      <w:r w:rsidRPr="00D157B7">
        <w:rPr>
          <w:rFonts w:ascii="Arial Narrow" w:hAnsi="Arial Narrow" w:cs="Arial"/>
        </w:rPr>
        <w:t xml:space="preserve">, using the data sources specified in </w:t>
      </w:r>
      <w:r w:rsidRPr="00D157B7">
        <w:rPr>
          <w:rFonts w:ascii="Arial Narrow" w:hAnsi="Arial Narrow" w:cs="Arial"/>
          <w:b/>
        </w:rPr>
        <w:t>Table 2</w:t>
      </w:r>
      <w:r w:rsidRPr="00D157B7">
        <w:rPr>
          <w:rFonts w:ascii="Arial Narrow" w:hAnsi="Arial Narrow" w:cs="Arial"/>
        </w:rPr>
        <w:t>.</w:t>
      </w:r>
      <w:r w:rsidR="003D1500" w:rsidRPr="00D157B7">
        <w:rPr>
          <w:rFonts w:ascii="Arial Narrow" w:hAnsi="Arial Narrow" w:cs="Arial"/>
        </w:rPr>
        <w:t xml:space="preserve"> </w:t>
      </w:r>
    </w:p>
    <w:tbl>
      <w:tblPr>
        <w:tblStyle w:val="Style1"/>
        <w:tblW w:w="9712" w:type="dxa"/>
        <w:jc w:val="center"/>
        <w:tblLook w:val="0000" w:firstRow="0" w:lastRow="0" w:firstColumn="0" w:lastColumn="0" w:noHBand="0" w:noVBand="0"/>
      </w:tblPr>
      <w:tblGrid>
        <w:gridCol w:w="6651"/>
        <w:gridCol w:w="3061"/>
      </w:tblGrid>
      <w:tr w:rsidR="00AD35B4" w:rsidRPr="00E02341" w14:paraId="74AF4501" w14:textId="77777777" w:rsidTr="00AF379D">
        <w:trPr>
          <w:jc w:val="center"/>
        </w:trPr>
        <w:tc>
          <w:tcPr>
            <w:tcW w:w="9632" w:type="dxa"/>
            <w:gridSpan w:val="2"/>
            <w:shd w:val="clear" w:color="auto" w:fill="D6E3BC" w:themeFill="accent3" w:themeFillTint="66"/>
          </w:tcPr>
          <w:p w14:paraId="3FEFFC4F" w14:textId="77777777" w:rsidR="00AD35B4" w:rsidRPr="00AD35B4" w:rsidRDefault="00AD35B4" w:rsidP="00AF379D">
            <w:pPr>
              <w:widowControl w:val="0"/>
              <w:autoSpaceDE w:val="0"/>
              <w:autoSpaceDN w:val="0"/>
              <w:jc w:val="center"/>
              <w:rPr>
                <w:rFonts w:ascii="Arial Narrow" w:hAnsi="Arial Narrow" w:cs="Arial"/>
                <w:b/>
              </w:rPr>
            </w:pPr>
            <w:r w:rsidRPr="00FB7DDA">
              <w:rPr>
                <w:rFonts w:ascii="Arial Narrow" w:hAnsi="Arial Narrow" w:cs="Arial"/>
                <w:b/>
              </w:rPr>
              <w:t xml:space="preserve">Table </w:t>
            </w:r>
            <w:r>
              <w:rPr>
                <w:rFonts w:ascii="Arial Narrow" w:hAnsi="Arial Narrow" w:cs="Arial"/>
                <w:b/>
              </w:rPr>
              <w:t>2</w:t>
            </w:r>
            <w:r w:rsidRPr="00FB7DDA">
              <w:rPr>
                <w:rFonts w:ascii="Arial Narrow" w:hAnsi="Arial Narrow" w:cs="Arial"/>
                <w:b/>
              </w:rPr>
              <w:t xml:space="preserve"> – </w:t>
            </w:r>
            <w:r>
              <w:rPr>
                <w:rFonts w:ascii="Arial Narrow" w:hAnsi="Arial Narrow" w:cs="Arial"/>
                <w:b/>
              </w:rPr>
              <w:t>Annual Outcome Data</w:t>
            </w:r>
          </w:p>
        </w:tc>
      </w:tr>
      <w:tr w:rsidR="00AD35B4" w:rsidRPr="00E02341" w14:paraId="57558114" w14:textId="77777777" w:rsidTr="00AF379D">
        <w:trPr>
          <w:jc w:val="center"/>
        </w:trPr>
        <w:tc>
          <w:tcPr>
            <w:tcW w:w="0" w:type="auto"/>
            <w:shd w:val="clear" w:color="auto" w:fill="DBE5F1" w:themeFill="accent1" w:themeFillTint="33"/>
            <w:vAlign w:val="center"/>
          </w:tcPr>
          <w:p w14:paraId="02F71D32" w14:textId="77777777" w:rsidR="00AD35B4" w:rsidRPr="00B42E4B" w:rsidRDefault="0074027C" w:rsidP="00AF379D">
            <w:pPr>
              <w:widowControl w:val="0"/>
              <w:autoSpaceDE w:val="0"/>
              <w:autoSpaceDN w:val="0"/>
              <w:jc w:val="center"/>
              <w:rPr>
                <w:rFonts w:ascii="Arial Narrow" w:hAnsi="Arial Narrow" w:cs="Arial"/>
                <w:b/>
              </w:rPr>
            </w:pPr>
            <w:r w:rsidRPr="00B42E4B">
              <w:rPr>
                <w:rFonts w:ascii="Arial Narrow" w:hAnsi="Arial Narrow" w:cs="Arial"/>
                <w:b/>
              </w:rPr>
              <w:t xml:space="preserve">Outcome </w:t>
            </w:r>
            <w:r>
              <w:rPr>
                <w:rFonts w:ascii="Arial Narrow" w:hAnsi="Arial Narrow" w:cs="Arial"/>
                <w:b/>
              </w:rPr>
              <w:t>Data Requirements</w:t>
            </w:r>
          </w:p>
        </w:tc>
        <w:tc>
          <w:tcPr>
            <w:tcW w:w="3001" w:type="dxa"/>
            <w:shd w:val="clear" w:color="auto" w:fill="DBE5F1" w:themeFill="accent1" w:themeFillTint="33"/>
            <w:vAlign w:val="center"/>
          </w:tcPr>
          <w:p w14:paraId="5D27B4F2" w14:textId="77777777" w:rsidR="00AD35B4" w:rsidRPr="00B42E4B" w:rsidRDefault="0074027C" w:rsidP="00AF379D">
            <w:pPr>
              <w:widowControl w:val="0"/>
              <w:autoSpaceDE w:val="0"/>
              <w:autoSpaceDN w:val="0"/>
              <w:ind w:left="104"/>
              <w:jc w:val="center"/>
              <w:rPr>
                <w:rFonts w:ascii="Arial Narrow" w:hAnsi="Arial Narrow" w:cs="Arial"/>
                <w:b/>
              </w:rPr>
            </w:pPr>
            <w:r w:rsidRPr="00B42E4B">
              <w:rPr>
                <w:rFonts w:ascii="Arial Narrow" w:hAnsi="Arial Narrow" w:cs="Arial"/>
                <w:b/>
              </w:rPr>
              <w:t xml:space="preserve">Community-Level Data Source </w:t>
            </w:r>
          </w:p>
        </w:tc>
      </w:tr>
      <w:tr w:rsidR="00AD35B4" w:rsidRPr="00E02341" w14:paraId="770CB6FA" w14:textId="77777777" w:rsidTr="00AF379D">
        <w:trPr>
          <w:jc w:val="center"/>
        </w:trPr>
        <w:tc>
          <w:tcPr>
            <w:tcW w:w="0" w:type="auto"/>
            <w:vAlign w:val="center"/>
          </w:tcPr>
          <w:p w14:paraId="0645D2F5" w14:textId="77777777" w:rsidR="00AD35B4" w:rsidRPr="00B42E4B" w:rsidRDefault="00243F61" w:rsidP="00AF379D">
            <w:pPr>
              <w:widowControl w:val="0"/>
              <w:autoSpaceDE w:val="0"/>
              <w:autoSpaceDN w:val="0"/>
              <w:jc w:val="both"/>
              <w:rPr>
                <w:rFonts w:ascii="Arial Narrow" w:hAnsi="Arial Narrow" w:cs="Arial"/>
              </w:rPr>
            </w:pPr>
            <w:r>
              <w:rPr>
                <w:rFonts w:ascii="Arial Narrow" w:hAnsi="Arial Narrow" w:cs="Arial"/>
              </w:rPr>
              <w:t>Past 30-day</w:t>
            </w:r>
            <w:r w:rsidR="00C6575A">
              <w:rPr>
                <w:rFonts w:ascii="Arial Narrow" w:hAnsi="Arial Narrow" w:cs="Arial"/>
              </w:rPr>
              <w:t xml:space="preserve"> use of </w:t>
            </w:r>
            <w:r w:rsidR="00AD35B4" w:rsidRPr="00B42E4B">
              <w:rPr>
                <w:rFonts w:ascii="Arial Narrow" w:hAnsi="Arial Narrow" w:cs="Arial"/>
              </w:rPr>
              <w:t xml:space="preserve">alcohol </w:t>
            </w:r>
            <w:r w:rsidR="00C6575A">
              <w:rPr>
                <w:rFonts w:ascii="Arial Narrow" w:hAnsi="Arial Narrow" w:cs="Arial"/>
              </w:rPr>
              <w:t>in persons age</w:t>
            </w:r>
            <w:r w:rsidR="006B3337">
              <w:rPr>
                <w:rFonts w:ascii="Arial Narrow" w:hAnsi="Arial Narrow" w:cs="Arial"/>
              </w:rPr>
              <w:t>s</w:t>
            </w:r>
            <w:r w:rsidR="00C6575A">
              <w:rPr>
                <w:rFonts w:ascii="Arial Narrow" w:hAnsi="Arial Narrow" w:cs="Arial"/>
              </w:rPr>
              <w:t xml:space="preserve"> 12-20</w:t>
            </w:r>
          </w:p>
        </w:tc>
        <w:tc>
          <w:tcPr>
            <w:tcW w:w="3001" w:type="dxa"/>
            <w:vAlign w:val="center"/>
          </w:tcPr>
          <w:p w14:paraId="3FBAA9B1" w14:textId="77777777" w:rsidR="00AD35B4" w:rsidRPr="00B42E4B" w:rsidRDefault="00C6575A" w:rsidP="00AF379D">
            <w:pPr>
              <w:widowControl w:val="0"/>
              <w:autoSpaceDE w:val="0"/>
              <w:autoSpaceDN w:val="0"/>
              <w:ind w:left="104"/>
              <w:jc w:val="center"/>
              <w:rPr>
                <w:rFonts w:ascii="Arial Narrow" w:hAnsi="Arial Narrow" w:cs="Arial"/>
              </w:rPr>
            </w:pPr>
            <w:r>
              <w:rPr>
                <w:rFonts w:ascii="Arial Narrow" w:hAnsi="Arial Narrow" w:cs="Arial"/>
              </w:rPr>
              <w:t>FYSA</w:t>
            </w:r>
            <w:r w:rsidR="004C14E5">
              <w:rPr>
                <w:rFonts w:ascii="Arial Narrow" w:hAnsi="Arial Narrow" w:cs="Arial"/>
              </w:rPr>
              <w:t>S</w:t>
            </w:r>
          </w:p>
        </w:tc>
      </w:tr>
      <w:tr w:rsidR="00AD35B4" w:rsidRPr="00E02341" w14:paraId="60C8DED9" w14:textId="77777777" w:rsidTr="00AF379D">
        <w:trPr>
          <w:jc w:val="center"/>
        </w:trPr>
        <w:tc>
          <w:tcPr>
            <w:tcW w:w="0" w:type="auto"/>
            <w:vAlign w:val="center"/>
          </w:tcPr>
          <w:p w14:paraId="3DD48031" w14:textId="77777777" w:rsidR="00AD35B4" w:rsidRPr="008C40D1" w:rsidRDefault="00243F61" w:rsidP="00AF379D">
            <w:pPr>
              <w:widowControl w:val="0"/>
              <w:autoSpaceDE w:val="0"/>
              <w:autoSpaceDN w:val="0"/>
              <w:jc w:val="both"/>
              <w:rPr>
                <w:rFonts w:ascii="Arial Narrow" w:hAnsi="Arial Narrow" w:cs="Arial"/>
              </w:rPr>
            </w:pPr>
            <w:r w:rsidRPr="008C40D1">
              <w:rPr>
                <w:rFonts w:ascii="Arial Narrow" w:hAnsi="Arial Narrow" w:cs="Arial"/>
              </w:rPr>
              <w:t>Past</w:t>
            </w:r>
            <w:r w:rsidR="00546AC0" w:rsidRPr="008C40D1">
              <w:rPr>
                <w:rFonts w:ascii="Arial Narrow" w:hAnsi="Arial Narrow" w:cs="Arial"/>
              </w:rPr>
              <w:t xml:space="preserve"> </w:t>
            </w:r>
            <w:r w:rsidRPr="008C40D1">
              <w:rPr>
                <w:rFonts w:ascii="Arial Narrow" w:hAnsi="Arial Narrow" w:cs="Arial"/>
              </w:rPr>
              <w:t>30-day</w:t>
            </w:r>
            <w:r w:rsidR="00C6575A" w:rsidRPr="008C40D1">
              <w:rPr>
                <w:rFonts w:ascii="Arial Narrow" w:hAnsi="Arial Narrow" w:cs="Arial"/>
              </w:rPr>
              <w:t xml:space="preserve"> prescription drug</w:t>
            </w:r>
            <w:r w:rsidR="00546AC0" w:rsidRPr="008C40D1">
              <w:rPr>
                <w:rFonts w:ascii="Arial Narrow" w:hAnsi="Arial Narrow" w:cs="Arial"/>
              </w:rPr>
              <w:t xml:space="preserve"> misuse</w:t>
            </w:r>
            <w:r w:rsidR="00A93913" w:rsidRPr="008C40D1">
              <w:rPr>
                <w:rFonts w:ascii="Arial Narrow" w:hAnsi="Arial Narrow" w:cs="Arial"/>
              </w:rPr>
              <w:t xml:space="preserve"> (pain relievers and </w:t>
            </w:r>
            <w:r w:rsidR="00A93913" w:rsidRPr="006D0673">
              <w:rPr>
                <w:rFonts w:ascii="Arial Narrow" w:hAnsi="Arial Narrow"/>
              </w:rPr>
              <w:t>amphetamines)</w:t>
            </w:r>
            <w:r w:rsidR="00C6575A" w:rsidRPr="008C40D1">
              <w:rPr>
                <w:rFonts w:ascii="Arial Narrow" w:hAnsi="Arial Narrow" w:cs="Arial"/>
              </w:rPr>
              <w:t xml:space="preserve"> in persons age</w:t>
            </w:r>
            <w:r w:rsidR="006B3337" w:rsidRPr="008C40D1">
              <w:rPr>
                <w:rFonts w:ascii="Arial Narrow" w:hAnsi="Arial Narrow" w:cs="Arial"/>
              </w:rPr>
              <w:t>s</w:t>
            </w:r>
            <w:r w:rsidR="00C6575A" w:rsidRPr="008C40D1">
              <w:rPr>
                <w:rFonts w:ascii="Arial Narrow" w:hAnsi="Arial Narrow" w:cs="Arial"/>
              </w:rPr>
              <w:t xml:space="preserve"> 12-25</w:t>
            </w:r>
          </w:p>
        </w:tc>
        <w:tc>
          <w:tcPr>
            <w:tcW w:w="3001" w:type="dxa"/>
            <w:vAlign w:val="center"/>
          </w:tcPr>
          <w:p w14:paraId="1C46BCE2" w14:textId="68152904" w:rsidR="00AD35B4" w:rsidRPr="00B42E4B" w:rsidRDefault="00C6575A" w:rsidP="00AF379D">
            <w:pPr>
              <w:widowControl w:val="0"/>
              <w:autoSpaceDE w:val="0"/>
              <w:autoSpaceDN w:val="0"/>
              <w:ind w:left="104"/>
              <w:jc w:val="center"/>
              <w:rPr>
                <w:rFonts w:ascii="Arial Narrow" w:hAnsi="Arial Narrow" w:cs="Arial"/>
              </w:rPr>
            </w:pPr>
            <w:r>
              <w:rPr>
                <w:rFonts w:ascii="Arial Narrow" w:hAnsi="Arial Narrow" w:cs="Arial"/>
              </w:rPr>
              <w:t>FYSAS</w:t>
            </w:r>
          </w:p>
        </w:tc>
      </w:tr>
      <w:tr w:rsidR="00AD35B4" w:rsidRPr="00E02341" w14:paraId="704282EF" w14:textId="77777777" w:rsidTr="00AF379D">
        <w:trPr>
          <w:jc w:val="center"/>
        </w:trPr>
        <w:tc>
          <w:tcPr>
            <w:tcW w:w="0" w:type="auto"/>
            <w:vAlign w:val="center"/>
          </w:tcPr>
          <w:p w14:paraId="151A263E" w14:textId="77777777" w:rsidR="00AD35B4" w:rsidRPr="00B42E4B" w:rsidRDefault="00864ECE" w:rsidP="00AF379D">
            <w:pPr>
              <w:widowControl w:val="0"/>
              <w:autoSpaceDE w:val="0"/>
              <w:autoSpaceDN w:val="0"/>
              <w:jc w:val="both"/>
              <w:rPr>
                <w:rFonts w:ascii="Arial Narrow" w:hAnsi="Arial Narrow" w:cs="Arial"/>
              </w:rPr>
            </w:pPr>
            <w:r>
              <w:rPr>
                <w:rFonts w:ascii="Arial Narrow" w:hAnsi="Arial Narrow" w:cs="Arial"/>
              </w:rPr>
              <w:t>P</w:t>
            </w:r>
            <w:r w:rsidR="00AD35B4" w:rsidRPr="00B42E4B">
              <w:rPr>
                <w:rFonts w:ascii="Arial Narrow" w:hAnsi="Arial Narrow" w:cs="Arial"/>
              </w:rPr>
              <w:t xml:space="preserve">eer disapproval/attitude </w:t>
            </w:r>
            <w:r w:rsidR="00C6575A">
              <w:rPr>
                <w:rFonts w:ascii="Arial Narrow" w:hAnsi="Arial Narrow" w:cs="Arial"/>
              </w:rPr>
              <w:t>for alcohol</w:t>
            </w:r>
            <w:r>
              <w:rPr>
                <w:rFonts w:ascii="Arial Narrow" w:hAnsi="Arial Narrow" w:cs="Arial"/>
              </w:rPr>
              <w:t xml:space="preserve"> misuse and abuse in persons ages 12-20</w:t>
            </w:r>
          </w:p>
        </w:tc>
        <w:tc>
          <w:tcPr>
            <w:tcW w:w="3001" w:type="dxa"/>
            <w:vAlign w:val="center"/>
          </w:tcPr>
          <w:p w14:paraId="2739D238" w14:textId="77777777" w:rsidR="00AD35B4" w:rsidRPr="00B42E4B" w:rsidRDefault="00C6575A" w:rsidP="00AF379D">
            <w:pPr>
              <w:widowControl w:val="0"/>
              <w:autoSpaceDE w:val="0"/>
              <w:autoSpaceDN w:val="0"/>
              <w:ind w:left="104"/>
              <w:jc w:val="center"/>
              <w:rPr>
                <w:rFonts w:ascii="Arial Narrow" w:hAnsi="Arial Narrow" w:cs="Arial"/>
              </w:rPr>
            </w:pPr>
            <w:r>
              <w:rPr>
                <w:rFonts w:ascii="Arial Narrow" w:hAnsi="Arial Narrow" w:cs="Arial"/>
              </w:rPr>
              <w:t>FYSAS</w:t>
            </w:r>
          </w:p>
        </w:tc>
      </w:tr>
      <w:tr w:rsidR="00A93913" w:rsidRPr="00E02341" w14:paraId="0DBDAE54" w14:textId="77777777" w:rsidTr="00AF379D">
        <w:trPr>
          <w:jc w:val="center"/>
        </w:trPr>
        <w:tc>
          <w:tcPr>
            <w:tcW w:w="0" w:type="auto"/>
            <w:vAlign w:val="center"/>
          </w:tcPr>
          <w:p w14:paraId="42A60DCD" w14:textId="77777777" w:rsidR="00A93913" w:rsidRDefault="00A93913" w:rsidP="00AF379D">
            <w:pPr>
              <w:widowControl w:val="0"/>
              <w:autoSpaceDE w:val="0"/>
              <w:autoSpaceDN w:val="0"/>
              <w:jc w:val="both"/>
              <w:rPr>
                <w:rFonts w:ascii="Arial Narrow" w:hAnsi="Arial Narrow" w:cs="Arial"/>
              </w:rPr>
            </w:pPr>
            <w:r>
              <w:rPr>
                <w:rFonts w:ascii="Arial Narrow" w:hAnsi="Arial Narrow" w:cs="Arial"/>
              </w:rPr>
              <w:t>P</w:t>
            </w:r>
            <w:r w:rsidRPr="00B42E4B">
              <w:rPr>
                <w:rFonts w:ascii="Arial Narrow" w:hAnsi="Arial Narrow" w:cs="Arial"/>
              </w:rPr>
              <w:t xml:space="preserve">eer disapproval/attitude </w:t>
            </w:r>
            <w:r>
              <w:rPr>
                <w:rFonts w:ascii="Arial Narrow" w:hAnsi="Arial Narrow" w:cs="Arial"/>
              </w:rPr>
              <w:t>for prescription drug misuse and abuse in persons ages 12-25</w:t>
            </w:r>
          </w:p>
        </w:tc>
        <w:tc>
          <w:tcPr>
            <w:tcW w:w="3001" w:type="dxa"/>
            <w:vAlign w:val="center"/>
          </w:tcPr>
          <w:p w14:paraId="776C386D" w14:textId="77777777" w:rsidR="00A93913" w:rsidRDefault="00A93913" w:rsidP="00AF379D">
            <w:pPr>
              <w:widowControl w:val="0"/>
              <w:autoSpaceDE w:val="0"/>
              <w:autoSpaceDN w:val="0"/>
              <w:ind w:left="104"/>
              <w:jc w:val="center"/>
              <w:rPr>
                <w:rFonts w:ascii="Arial Narrow" w:hAnsi="Arial Narrow" w:cs="Arial"/>
              </w:rPr>
            </w:pPr>
            <w:r>
              <w:rPr>
                <w:rFonts w:ascii="Arial Narrow" w:hAnsi="Arial Narrow" w:cs="Arial"/>
              </w:rPr>
              <w:t>FYSAS</w:t>
            </w:r>
          </w:p>
        </w:tc>
      </w:tr>
      <w:tr w:rsidR="00AD35B4" w:rsidRPr="00E02341" w14:paraId="1A43CDCF" w14:textId="77777777" w:rsidTr="00AF379D">
        <w:trPr>
          <w:jc w:val="center"/>
        </w:trPr>
        <w:tc>
          <w:tcPr>
            <w:tcW w:w="0" w:type="auto"/>
            <w:vAlign w:val="center"/>
          </w:tcPr>
          <w:p w14:paraId="40D58264" w14:textId="77777777" w:rsidR="00AD35B4" w:rsidRPr="00B42E4B" w:rsidRDefault="00181233" w:rsidP="00AF379D">
            <w:pPr>
              <w:widowControl w:val="0"/>
              <w:autoSpaceDE w:val="0"/>
              <w:autoSpaceDN w:val="0"/>
              <w:jc w:val="both"/>
              <w:rPr>
                <w:rFonts w:ascii="Arial Narrow" w:hAnsi="Arial Narrow" w:cs="Arial"/>
              </w:rPr>
            </w:pPr>
            <w:r>
              <w:rPr>
                <w:rFonts w:ascii="Arial Narrow" w:hAnsi="Arial Narrow" w:cs="Arial"/>
              </w:rPr>
              <w:t>E</w:t>
            </w:r>
            <w:r w:rsidR="0053259A" w:rsidRPr="0053259A">
              <w:rPr>
                <w:rFonts w:ascii="Arial Narrow" w:hAnsi="Arial Narrow" w:cs="Arial"/>
              </w:rPr>
              <w:t>mergency room visits for fatal and non-fatal opioid overdose</w:t>
            </w:r>
            <w:r w:rsidR="0053259A" w:rsidRPr="0053259A" w:rsidDel="00A93913">
              <w:rPr>
                <w:rFonts w:ascii="Arial Narrow" w:hAnsi="Arial Narrow" w:cs="Arial"/>
              </w:rPr>
              <w:t xml:space="preserve"> </w:t>
            </w:r>
            <w:r w:rsidR="003B5C4C">
              <w:rPr>
                <w:rFonts w:ascii="Arial Narrow" w:hAnsi="Arial Narrow" w:cs="Arial"/>
              </w:rPr>
              <w:t xml:space="preserve">in </w:t>
            </w:r>
            <w:r w:rsidR="00C6575A">
              <w:rPr>
                <w:rFonts w:ascii="Arial Narrow" w:hAnsi="Arial Narrow" w:cs="Arial"/>
              </w:rPr>
              <w:t>persons age</w:t>
            </w:r>
            <w:r w:rsidR="00E714E7">
              <w:rPr>
                <w:rFonts w:ascii="Arial Narrow" w:hAnsi="Arial Narrow" w:cs="Arial"/>
              </w:rPr>
              <w:t>s</w:t>
            </w:r>
            <w:r w:rsidR="00C6575A">
              <w:rPr>
                <w:rFonts w:ascii="Arial Narrow" w:hAnsi="Arial Narrow" w:cs="Arial"/>
              </w:rPr>
              <w:t xml:space="preserve"> 26 and older </w:t>
            </w:r>
          </w:p>
        </w:tc>
        <w:tc>
          <w:tcPr>
            <w:tcW w:w="3001" w:type="dxa"/>
            <w:vAlign w:val="center"/>
          </w:tcPr>
          <w:p w14:paraId="59F800CE" w14:textId="0ED37D29" w:rsidR="00AD35B4" w:rsidRPr="00B42E4B" w:rsidRDefault="00AD35B4" w:rsidP="00AF379D">
            <w:pPr>
              <w:widowControl w:val="0"/>
              <w:autoSpaceDE w:val="0"/>
              <w:autoSpaceDN w:val="0"/>
              <w:ind w:left="104"/>
              <w:jc w:val="center"/>
              <w:rPr>
                <w:rFonts w:ascii="Arial Narrow" w:hAnsi="Arial Narrow" w:cs="Arial"/>
              </w:rPr>
            </w:pPr>
            <w:r w:rsidRPr="00B42E4B">
              <w:rPr>
                <w:rFonts w:ascii="Arial Narrow" w:hAnsi="Arial Narrow" w:cs="Arial"/>
              </w:rPr>
              <w:t>Local Hospital Data Source</w:t>
            </w:r>
          </w:p>
        </w:tc>
      </w:tr>
      <w:tr w:rsidR="00AD35B4" w:rsidRPr="00E02341" w14:paraId="366E5829" w14:textId="77777777" w:rsidTr="00AF379D">
        <w:trPr>
          <w:jc w:val="center"/>
        </w:trPr>
        <w:tc>
          <w:tcPr>
            <w:tcW w:w="0" w:type="auto"/>
            <w:vAlign w:val="center"/>
          </w:tcPr>
          <w:p w14:paraId="363B320D" w14:textId="77777777" w:rsidR="00AD35B4" w:rsidRPr="00B42E4B" w:rsidRDefault="00AD35B4" w:rsidP="00AF379D">
            <w:pPr>
              <w:widowControl w:val="0"/>
              <w:autoSpaceDE w:val="0"/>
              <w:autoSpaceDN w:val="0"/>
              <w:jc w:val="both"/>
              <w:rPr>
                <w:rFonts w:ascii="Arial Narrow" w:hAnsi="Arial Narrow" w:cs="Arial"/>
              </w:rPr>
            </w:pPr>
            <w:r w:rsidRPr="00B42E4B">
              <w:rPr>
                <w:rFonts w:ascii="Arial Narrow" w:hAnsi="Arial Narrow" w:cs="Arial"/>
              </w:rPr>
              <w:t>Alcohol</w:t>
            </w:r>
            <w:r w:rsidR="00546AC0">
              <w:rPr>
                <w:rFonts w:ascii="Arial Narrow" w:hAnsi="Arial Narrow" w:cs="Arial"/>
              </w:rPr>
              <w:t>-</w:t>
            </w:r>
            <w:r w:rsidRPr="00B42E4B">
              <w:rPr>
                <w:rFonts w:ascii="Arial Narrow" w:hAnsi="Arial Narrow" w:cs="Arial"/>
              </w:rPr>
              <w:t>related</w:t>
            </w:r>
            <w:r w:rsidR="008239A3">
              <w:rPr>
                <w:rFonts w:ascii="Arial Narrow" w:hAnsi="Arial Narrow" w:cs="Arial"/>
              </w:rPr>
              <w:t xml:space="preserve"> </w:t>
            </w:r>
            <w:r w:rsidRPr="00B42E4B">
              <w:rPr>
                <w:rFonts w:ascii="Arial Narrow" w:hAnsi="Arial Narrow" w:cs="Arial"/>
              </w:rPr>
              <w:t xml:space="preserve">suspensions and expulsions </w:t>
            </w:r>
            <w:r w:rsidR="004C14E5">
              <w:rPr>
                <w:rFonts w:ascii="Arial Narrow" w:hAnsi="Arial Narrow" w:cs="Arial"/>
              </w:rPr>
              <w:t xml:space="preserve">in persons </w:t>
            </w:r>
            <w:r w:rsidR="0063494E">
              <w:rPr>
                <w:rFonts w:ascii="Arial Narrow" w:hAnsi="Arial Narrow" w:cs="Arial"/>
              </w:rPr>
              <w:t>ages 12-20</w:t>
            </w:r>
          </w:p>
        </w:tc>
        <w:tc>
          <w:tcPr>
            <w:tcW w:w="3001" w:type="dxa"/>
            <w:vAlign w:val="center"/>
          </w:tcPr>
          <w:p w14:paraId="17FBEAE0" w14:textId="77777777" w:rsidR="00AD35B4" w:rsidRPr="00B42E4B" w:rsidRDefault="00AD35B4" w:rsidP="00AF379D">
            <w:pPr>
              <w:widowControl w:val="0"/>
              <w:autoSpaceDE w:val="0"/>
              <w:autoSpaceDN w:val="0"/>
              <w:ind w:left="104"/>
              <w:jc w:val="center"/>
              <w:rPr>
                <w:rFonts w:ascii="Arial Narrow" w:hAnsi="Arial Narrow" w:cs="Arial"/>
              </w:rPr>
            </w:pPr>
            <w:r w:rsidRPr="00B42E4B">
              <w:rPr>
                <w:rFonts w:ascii="Arial Narrow" w:hAnsi="Arial Narrow" w:cs="Arial"/>
              </w:rPr>
              <w:t>Local Department of Education</w:t>
            </w:r>
          </w:p>
        </w:tc>
        <w:bookmarkStart w:id="0" w:name="_GoBack"/>
        <w:bookmarkEnd w:id="0"/>
      </w:tr>
      <w:tr w:rsidR="00A93913" w:rsidRPr="00E02341" w14:paraId="25394CB3" w14:textId="77777777" w:rsidTr="00AF379D">
        <w:trPr>
          <w:jc w:val="center"/>
        </w:trPr>
        <w:tc>
          <w:tcPr>
            <w:tcW w:w="0" w:type="auto"/>
            <w:vAlign w:val="center"/>
          </w:tcPr>
          <w:p w14:paraId="4238ECFE" w14:textId="77777777" w:rsidR="00A93913" w:rsidRPr="00B42E4B" w:rsidRDefault="00A93913" w:rsidP="00AF379D">
            <w:pPr>
              <w:widowControl w:val="0"/>
              <w:autoSpaceDE w:val="0"/>
              <w:autoSpaceDN w:val="0"/>
              <w:jc w:val="both"/>
              <w:rPr>
                <w:rFonts w:ascii="Arial Narrow" w:hAnsi="Arial Narrow" w:cs="Arial"/>
              </w:rPr>
            </w:pPr>
            <w:r>
              <w:rPr>
                <w:rFonts w:ascii="Arial Narrow" w:hAnsi="Arial Narrow" w:cs="Arial"/>
              </w:rPr>
              <w:t>D</w:t>
            </w:r>
            <w:r w:rsidRPr="00B42E4B">
              <w:rPr>
                <w:rFonts w:ascii="Arial Narrow" w:hAnsi="Arial Narrow" w:cs="Arial"/>
              </w:rPr>
              <w:t>rug</w:t>
            </w:r>
            <w:r w:rsidR="008239A3">
              <w:rPr>
                <w:rFonts w:ascii="Arial Narrow" w:hAnsi="Arial Narrow" w:cs="Arial"/>
              </w:rPr>
              <w:t>-</w:t>
            </w:r>
            <w:r w:rsidRPr="00B42E4B">
              <w:rPr>
                <w:rFonts w:ascii="Arial Narrow" w:hAnsi="Arial Narrow" w:cs="Arial"/>
              </w:rPr>
              <w:t xml:space="preserve">related suspensions and expulsions </w:t>
            </w:r>
            <w:r>
              <w:rPr>
                <w:rFonts w:ascii="Arial Narrow" w:hAnsi="Arial Narrow" w:cs="Arial"/>
              </w:rPr>
              <w:t>in persons ages 12-20</w:t>
            </w:r>
          </w:p>
        </w:tc>
        <w:tc>
          <w:tcPr>
            <w:tcW w:w="3001" w:type="dxa"/>
            <w:vAlign w:val="center"/>
          </w:tcPr>
          <w:p w14:paraId="1CE8ACC9" w14:textId="77777777" w:rsidR="00A93913" w:rsidRPr="00B42E4B" w:rsidRDefault="00A93913" w:rsidP="00AF379D">
            <w:pPr>
              <w:widowControl w:val="0"/>
              <w:autoSpaceDE w:val="0"/>
              <w:autoSpaceDN w:val="0"/>
              <w:ind w:left="104"/>
              <w:jc w:val="center"/>
              <w:rPr>
                <w:rFonts w:ascii="Arial Narrow" w:hAnsi="Arial Narrow" w:cs="Arial"/>
              </w:rPr>
            </w:pPr>
            <w:r w:rsidRPr="00B42E4B">
              <w:rPr>
                <w:rFonts w:ascii="Arial Narrow" w:hAnsi="Arial Narrow" w:cs="Arial"/>
              </w:rPr>
              <w:t>Local Department of Education</w:t>
            </w:r>
          </w:p>
        </w:tc>
      </w:tr>
    </w:tbl>
    <w:p w14:paraId="32872F49" w14:textId="77777777" w:rsidR="00D157B7" w:rsidRDefault="00D157B7" w:rsidP="00BB5027">
      <w:pPr>
        <w:widowControl w:val="0"/>
        <w:autoSpaceDE w:val="0"/>
        <w:autoSpaceDN w:val="0"/>
        <w:spacing w:before="120" w:after="120" w:line="240" w:lineRule="auto"/>
        <w:jc w:val="both"/>
        <w:rPr>
          <w:rFonts w:ascii="Arial Narrow" w:hAnsi="Arial Narrow" w:cs="Arial"/>
          <w:b/>
          <w:u w:val="single"/>
        </w:rPr>
      </w:pPr>
    </w:p>
    <w:p w14:paraId="0E513C28" w14:textId="77777777" w:rsidR="00AF379D" w:rsidRDefault="00AF379D">
      <w:pPr>
        <w:rPr>
          <w:rFonts w:ascii="Arial Narrow" w:hAnsi="Arial Narrow" w:cs="Arial"/>
          <w:b/>
          <w:u w:val="single"/>
        </w:rPr>
      </w:pPr>
      <w:r>
        <w:rPr>
          <w:rFonts w:ascii="Arial Narrow" w:hAnsi="Arial Narrow" w:cs="Arial"/>
          <w:b/>
          <w:u w:val="single"/>
        </w:rPr>
        <w:br w:type="page"/>
      </w:r>
    </w:p>
    <w:p w14:paraId="2D247737" w14:textId="4AC1F7EE" w:rsidR="00BB5027" w:rsidRPr="00BB5027" w:rsidRDefault="00BB5027" w:rsidP="00BB5027">
      <w:pPr>
        <w:widowControl w:val="0"/>
        <w:autoSpaceDE w:val="0"/>
        <w:autoSpaceDN w:val="0"/>
        <w:spacing w:before="120" w:after="120" w:line="240" w:lineRule="auto"/>
        <w:jc w:val="both"/>
        <w:rPr>
          <w:rFonts w:ascii="Arial Narrow" w:hAnsi="Arial Narrow" w:cs="Arial"/>
          <w:b/>
        </w:rPr>
      </w:pPr>
      <w:r w:rsidRPr="00BB5027">
        <w:rPr>
          <w:rFonts w:ascii="Arial Narrow" w:hAnsi="Arial Narrow" w:cs="Arial"/>
          <w:b/>
          <w:u w:val="single"/>
        </w:rPr>
        <w:lastRenderedPageBreak/>
        <w:t>Section B: School-Based Prevention Programs</w:t>
      </w:r>
    </w:p>
    <w:p w14:paraId="23EA586A" w14:textId="033DDAE1" w:rsidR="00BB5027" w:rsidRPr="00B46483" w:rsidRDefault="00BB5027" w:rsidP="0035139C">
      <w:pPr>
        <w:rPr>
          <w:rFonts w:ascii="Arial Narrow" w:hAnsi="Arial Narrow"/>
        </w:rPr>
      </w:pPr>
      <w:r w:rsidRPr="0035139C">
        <w:rPr>
          <w:rFonts w:ascii="Arial Narrow" w:hAnsi="Arial Narrow"/>
        </w:rPr>
        <w:t xml:space="preserve">To implement the </w:t>
      </w:r>
      <w:r w:rsidR="00B46483" w:rsidRPr="0035139C">
        <w:rPr>
          <w:rFonts w:ascii="Arial Narrow" w:hAnsi="Arial Narrow"/>
        </w:rPr>
        <w:t>grant</w:t>
      </w:r>
      <w:r w:rsidRPr="0035139C">
        <w:rPr>
          <w:rFonts w:ascii="Arial Narrow" w:hAnsi="Arial Narrow"/>
        </w:rPr>
        <w:t xml:space="preserve">, the Managing Entity shall subcontract with </w:t>
      </w:r>
      <w:r w:rsidR="00B46483">
        <w:rPr>
          <w:rFonts w:ascii="Arial Narrow" w:hAnsi="Arial Narrow"/>
        </w:rPr>
        <w:t>Network Service Provider(s)</w:t>
      </w:r>
      <w:r w:rsidRPr="0035139C">
        <w:rPr>
          <w:rFonts w:ascii="Arial Narrow" w:hAnsi="Arial Narrow"/>
        </w:rPr>
        <w:t xml:space="preserve"> </w:t>
      </w:r>
      <w:r w:rsidR="00B46483">
        <w:rPr>
          <w:rFonts w:ascii="Arial Narrow" w:hAnsi="Arial Narrow"/>
        </w:rPr>
        <w:t>to implement</w:t>
      </w:r>
      <w:r w:rsidRPr="0035139C">
        <w:rPr>
          <w:rFonts w:ascii="Arial Narrow" w:hAnsi="Arial Narrow"/>
        </w:rPr>
        <w:t xml:space="preserve"> approved school-based </w:t>
      </w:r>
      <w:r w:rsidR="00B46483">
        <w:rPr>
          <w:rFonts w:ascii="Arial Narrow" w:hAnsi="Arial Narrow"/>
        </w:rPr>
        <w:t>prevention</w:t>
      </w:r>
      <w:r w:rsidR="00B46483" w:rsidRPr="0035139C">
        <w:rPr>
          <w:rFonts w:ascii="Arial Narrow" w:hAnsi="Arial Narrow"/>
        </w:rPr>
        <w:t xml:space="preserve"> </w:t>
      </w:r>
      <w:r w:rsidRPr="0035139C">
        <w:rPr>
          <w:rFonts w:ascii="Arial Narrow" w:hAnsi="Arial Narrow"/>
        </w:rPr>
        <w:t>program</w:t>
      </w:r>
      <w:r w:rsidR="00B46483">
        <w:rPr>
          <w:rFonts w:ascii="Arial Narrow" w:hAnsi="Arial Narrow"/>
        </w:rPr>
        <w:t>s in middle and/or high schools</w:t>
      </w:r>
      <w:r w:rsidRPr="0035139C">
        <w:rPr>
          <w:rFonts w:ascii="Arial Narrow" w:hAnsi="Arial Narrow"/>
        </w:rPr>
        <w:t xml:space="preserve"> in each of the designated counties specified in </w:t>
      </w:r>
      <w:r w:rsidRPr="0035139C">
        <w:rPr>
          <w:rFonts w:ascii="Arial Narrow" w:hAnsi="Arial Narrow"/>
          <w:b/>
        </w:rPr>
        <w:t xml:space="preserve">Table </w:t>
      </w:r>
      <w:r w:rsidR="00944726" w:rsidRPr="0035139C">
        <w:rPr>
          <w:rFonts w:ascii="Arial Narrow" w:hAnsi="Arial Narrow"/>
          <w:b/>
        </w:rPr>
        <w:t>3</w:t>
      </w:r>
      <w:r w:rsidRPr="0035139C">
        <w:rPr>
          <w:rFonts w:ascii="Arial Narrow" w:hAnsi="Arial Narrow"/>
        </w:rPr>
        <w:t xml:space="preserve">. </w:t>
      </w:r>
      <w:r w:rsidR="0043764F" w:rsidRPr="00B42E4B">
        <w:rPr>
          <w:rFonts w:ascii="Arial Narrow" w:hAnsi="Arial Narrow" w:cs="Arial"/>
        </w:rPr>
        <w:t xml:space="preserve">Each </w:t>
      </w:r>
      <w:r w:rsidR="0043764F">
        <w:rPr>
          <w:rFonts w:ascii="Arial Narrow" w:hAnsi="Arial Narrow" w:cs="Arial"/>
        </w:rPr>
        <w:t xml:space="preserve">provider shall </w:t>
      </w:r>
      <w:r w:rsidR="0043764F" w:rsidRPr="00B42E4B">
        <w:rPr>
          <w:rFonts w:ascii="Arial Narrow" w:hAnsi="Arial Narrow" w:cs="Arial"/>
        </w:rPr>
        <w:t xml:space="preserve">perform data compilation, analyses, and reporting </w:t>
      </w:r>
      <w:r w:rsidR="0043764F">
        <w:rPr>
          <w:rFonts w:ascii="Arial Narrow" w:hAnsi="Arial Narrow" w:cs="Arial"/>
        </w:rPr>
        <w:t xml:space="preserve">functions </w:t>
      </w:r>
      <w:r w:rsidR="0043764F" w:rsidRPr="00B42E4B">
        <w:rPr>
          <w:rFonts w:ascii="Arial Narrow" w:hAnsi="Arial Narrow" w:cs="Arial"/>
        </w:rPr>
        <w:t xml:space="preserve">in conjunction with the </w:t>
      </w:r>
      <w:r w:rsidR="00AF379D">
        <w:rPr>
          <w:rFonts w:ascii="Arial Narrow" w:hAnsi="Arial Narrow" w:cs="Arial"/>
        </w:rPr>
        <w:t xml:space="preserve">Department’s designated </w:t>
      </w:r>
      <w:r w:rsidR="0043764F">
        <w:rPr>
          <w:rFonts w:ascii="Arial Narrow" w:hAnsi="Arial Narrow" w:cs="Arial"/>
        </w:rPr>
        <w:t>PFS Lead Evaluator and Managing Entity Prevention Coordinator</w:t>
      </w:r>
      <w:r w:rsidR="0043764F" w:rsidRPr="00B42E4B">
        <w:rPr>
          <w:rFonts w:ascii="Arial Narrow" w:hAnsi="Arial Narrow" w:cs="Arial"/>
        </w:rPr>
        <w:t xml:space="preserve">. </w:t>
      </w:r>
    </w:p>
    <w:tbl>
      <w:tblPr>
        <w:tblStyle w:val="Style1"/>
        <w:tblW w:w="0" w:type="auto"/>
        <w:jc w:val="center"/>
        <w:tblLook w:val="04A0" w:firstRow="1" w:lastRow="0" w:firstColumn="1" w:lastColumn="0" w:noHBand="0" w:noVBand="1"/>
      </w:tblPr>
      <w:tblGrid>
        <w:gridCol w:w="3878"/>
        <w:gridCol w:w="2594"/>
        <w:gridCol w:w="2872"/>
      </w:tblGrid>
      <w:tr w:rsidR="00BB5027" w:rsidRPr="00BB5027" w14:paraId="116785B0" w14:textId="77777777" w:rsidTr="00AF379D">
        <w:trPr>
          <w:cnfStyle w:val="100000000000" w:firstRow="1" w:lastRow="0" w:firstColumn="0" w:lastColumn="0" w:oddVBand="0" w:evenVBand="0" w:oddHBand="0" w:evenHBand="0" w:firstRowFirstColumn="0" w:firstRowLastColumn="0" w:lastRowFirstColumn="0" w:lastRowLastColumn="0"/>
          <w:jc w:val="center"/>
        </w:trPr>
        <w:tc>
          <w:tcPr>
            <w:tcW w:w="0" w:type="auto"/>
            <w:gridSpan w:val="3"/>
            <w:shd w:val="clear" w:color="auto" w:fill="D6E3BC" w:themeFill="accent3" w:themeFillTint="66"/>
            <w:vAlign w:val="center"/>
          </w:tcPr>
          <w:p w14:paraId="704E92ED" w14:textId="38C9285C" w:rsidR="00BB5027" w:rsidRPr="00BB5027" w:rsidRDefault="00BB5027" w:rsidP="00AF379D">
            <w:pPr>
              <w:widowControl w:val="0"/>
              <w:autoSpaceDE w:val="0"/>
              <w:autoSpaceDN w:val="0"/>
              <w:jc w:val="center"/>
              <w:rPr>
                <w:rFonts w:ascii="Arial Narrow" w:hAnsi="Arial Narrow" w:cs="Arial"/>
                <w:b/>
              </w:rPr>
            </w:pPr>
            <w:r w:rsidRPr="00BB5027">
              <w:rPr>
                <w:rFonts w:ascii="Arial Narrow" w:hAnsi="Arial Narrow" w:cs="Arial"/>
                <w:b/>
              </w:rPr>
              <w:t xml:space="preserve">Table </w:t>
            </w:r>
            <w:r w:rsidR="00944726">
              <w:rPr>
                <w:rFonts w:ascii="Arial Narrow" w:hAnsi="Arial Narrow" w:cs="Arial"/>
                <w:b/>
              </w:rPr>
              <w:t>3</w:t>
            </w:r>
            <w:r w:rsidRPr="00BB5027">
              <w:rPr>
                <w:rFonts w:ascii="Arial Narrow" w:hAnsi="Arial Narrow" w:cs="Arial"/>
                <w:b/>
              </w:rPr>
              <w:t xml:space="preserve"> – </w:t>
            </w:r>
            <w:r w:rsidR="002B2BA2">
              <w:rPr>
                <w:rFonts w:ascii="Arial Narrow" w:hAnsi="Arial Narrow" w:cs="Arial"/>
                <w:b/>
              </w:rPr>
              <w:t>Managing Entity</w:t>
            </w:r>
            <w:r w:rsidRPr="00BB5027">
              <w:rPr>
                <w:rFonts w:ascii="Arial Narrow" w:hAnsi="Arial Narrow" w:cs="Arial"/>
                <w:b/>
              </w:rPr>
              <w:t xml:space="preserve"> School-Based Prevention </w:t>
            </w:r>
            <w:r w:rsidR="002B2BA2">
              <w:rPr>
                <w:rFonts w:ascii="Arial Narrow" w:hAnsi="Arial Narrow" w:cs="Arial"/>
                <w:b/>
              </w:rPr>
              <w:t xml:space="preserve">Program </w:t>
            </w:r>
            <w:r w:rsidRPr="00BB5027">
              <w:rPr>
                <w:rFonts w:ascii="Arial Narrow" w:hAnsi="Arial Narrow" w:cs="Arial"/>
                <w:b/>
              </w:rPr>
              <w:t>Assignments</w:t>
            </w:r>
          </w:p>
        </w:tc>
      </w:tr>
      <w:tr w:rsidR="00BB5027" w:rsidRPr="00BB5027" w14:paraId="2DFFB721" w14:textId="77777777" w:rsidTr="00AF379D">
        <w:trPr>
          <w:jc w:val="center"/>
        </w:trPr>
        <w:tc>
          <w:tcPr>
            <w:tcW w:w="0" w:type="auto"/>
            <w:shd w:val="clear" w:color="auto" w:fill="B8CCE4" w:themeFill="accent1" w:themeFillTint="66"/>
            <w:vAlign w:val="center"/>
          </w:tcPr>
          <w:p w14:paraId="4B806084" w14:textId="77777777" w:rsidR="00BB5027" w:rsidRPr="00BB5027" w:rsidRDefault="00BB5027" w:rsidP="00AF379D">
            <w:pPr>
              <w:widowControl w:val="0"/>
              <w:autoSpaceDE w:val="0"/>
              <w:autoSpaceDN w:val="0"/>
              <w:jc w:val="center"/>
              <w:rPr>
                <w:rFonts w:ascii="Arial Narrow" w:hAnsi="Arial Narrow" w:cs="Arial"/>
                <w:b/>
              </w:rPr>
            </w:pPr>
            <w:r w:rsidRPr="00BB5027">
              <w:rPr>
                <w:rFonts w:ascii="Arial Narrow" w:hAnsi="Arial Narrow" w:cs="Arial"/>
                <w:b/>
              </w:rPr>
              <w:t>Managing Entity</w:t>
            </w:r>
          </w:p>
        </w:tc>
        <w:tc>
          <w:tcPr>
            <w:tcW w:w="2554" w:type="dxa"/>
            <w:shd w:val="clear" w:color="auto" w:fill="B8CCE4" w:themeFill="accent1" w:themeFillTint="66"/>
            <w:vAlign w:val="center"/>
          </w:tcPr>
          <w:p w14:paraId="17038EE8" w14:textId="181E17A2" w:rsidR="00BB5027" w:rsidRPr="00BB5027" w:rsidRDefault="00BB5027" w:rsidP="00AF379D">
            <w:pPr>
              <w:widowControl w:val="0"/>
              <w:autoSpaceDE w:val="0"/>
              <w:autoSpaceDN w:val="0"/>
              <w:jc w:val="center"/>
              <w:rPr>
                <w:rFonts w:ascii="Arial Narrow" w:hAnsi="Arial Narrow" w:cs="Arial"/>
                <w:b/>
              </w:rPr>
            </w:pPr>
            <w:r w:rsidRPr="00BB5027">
              <w:rPr>
                <w:rFonts w:ascii="Arial Narrow" w:hAnsi="Arial Narrow" w:cs="Arial"/>
                <w:b/>
              </w:rPr>
              <w:t>PFS Counties</w:t>
            </w:r>
          </w:p>
        </w:tc>
        <w:tc>
          <w:tcPr>
            <w:tcW w:w="2812" w:type="dxa"/>
            <w:shd w:val="clear" w:color="auto" w:fill="B8CCE4" w:themeFill="accent1" w:themeFillTint="66"/>
            <w:vAlign w:val="center"/>
          </w:tcPr>
          <w:p w14:paraId="7E8E23C8" w14:textId="557D5CE5" w:rsidR="00BB5027" w:rsidRPr="00BB5027" w:rsidRDefault="00944726" w:rsidP="00AF379D">
            <w:pPr>
              <w:widowControl w:val="0"/>
              <w:autoSpaceDE w:val="0"/>
              <w:autoSpaceDN w:val="0"/>
              <w:jc w:val="center"/>
              <w:rPr>
                <w:rFonts w:ascii="Arial Narrow" w:hAnsi="Arial Narrow" w:cs="Arial"/>
                <w:b/>
              </w:rPr>
            </w:pPr>
            <w:r>
              <w:rPr>
                <w:rFonts w:ascii="Arial Narrow" w:hAnsi="Arial Narrow" w:cs="Arial"/>
                <w:b/>
              </w:rPr>
              <w:t xml:space="preserve">School-Based Prevention Program </w:t>
            </w:r>
          </w:p>
        </w:tc>
      </w:tr>
      <w:tr w:rsidR="00BB5027" w:rsidRPr="00BB5027" w14:paraId="0A7EC4AF" w14:textId="77777777" w:rsidTr="00AF379D">
        <w:trPr>
          <w:jc w:val="center"/>
        </w:trPr>
        <w:tc>
          <w:tcPr>
            <w:tcW w:w="0" w:type="auto"/>
            <w:vAlign w:val="center"/>
          </w:tcPr>
          <w:p w14:paraId="4621300D"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Big Bend Community Based Care</w:t>
            </w:r>
          </w:p>
        </w:tc>
        <w:tc>
          <w:tcPr>
            <w:tcW w:w="2554" w:type="dxa"/>
            <w:vAlign w:val="center"/>
          </w:tcPr>
          <w:p w14:paraId="023D2C02"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Franklin, Walton</w:t>
            </w:r>
          </w:p>
          <w:p w14:paraId="7FCDEE90"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(2 programs per county)</w:t>
            </w:r>
          </w:p>
        </w:tc>
        <w:tc>
          <w:tcPr>
            <w:tcW w:w="2812" w:type="dxa"/>
            <w:vAlign w:val="center"/>
          </w:tcPr>
          <w:p w14:paraId="1A46001B" w14:textId="45619C20" w:rsidR="00BB5027" w:rsidRPr="00BB5027" w:rsidRDefault="00944726" w:rsidP="00AF379D">
            <w:pPr>
              <w:widowControl w:val="0"/>
              <w:autoSpaceDE w:val="0"/>
              <w:autoSpaceDN w:val="0"/>
              <w:jc w:val="center"/>
              <w:rPr>
                <w:rFonts w:ascii="Arial Narrow" w:hAnsi="Arial Narrow" w:cs="Arial"/>
              </w:rPr>
            </w:pPr>
            <w:r>
              <w:rPr>
                <w:rFonts w:ascii="Arial Narrow" w:hAnsi="Arial Narrow" w:cs="Arial"/>
              </w:rPr>
              <w:t>Botvin LifeSkills Training</w:t>
            </w:r>
          </w:p>
        </w:tc>
      </w:tr>
      <w:tr w:rsidR="00944726" w:rsidRPr="00BB5027" w14:paraId="3098FDD6" w14:textId="77777777" w:rsidTr="00AF379D">
        <w:trPr>
          <w:jc w:val="center"/>
        </w:trPr>
        <w:tc>
          <w:tcPr>
            <w:tcW w:w="0" w:type="auto"/>
            <w:vAlign w:val="center"/>
          </w:tcPr>
          <w:p w14:paraId="3DD13F5A" w14:textId="1CC72EC4" w:rsidR="00944726" w:rsidRPr="00BB5027" w:rsidRDefault="00944726" w:rsidP="00AF379D">
            <w:pPr>
              <w:widowControl w:val="0"/>
              <w:autoSpaceDE w:val="0"/>
              <w:autoSpaceDN w:val="0"/>
              <w:jc w:val="center"/>
              <w:rPr>
                <w:rFonts w:ascii="Arial Narrow" w:hAnsi="Arial Narrow" w:cs="Arial"/>
              </w:rPr>
            </w:pPr>
            <w:r w:rsidRPr="00BB5027">
              <w:rPr>
                <w:rFonts w:ascii="Arial Narrow" w:hAnsi="Arial Narrow" w:cs="Arial"/>
              </w:rPr>
              <w:t>Big Bend Community Based Care</w:t>
            </w:r>
          </w:p>
        </w:tc>
        <w:tc>
          <w:tcPr>
            <w:tcW w:w="2554" w:type="dxa"/>
            <w:vAlign w:val="center"/>
          </w:tcPr>
          <w:p w14:paraId="2059C59C" w14:textId="77777777" w:rsidR="00944726" w:rsidRDefault="00944726" w:rsidP="00AF379D">
            <w:pPr>
              <w:widowControl w:val="0"/>
              <w:autoSpaceDE w:val="0"/>
              <w:autoSpaceDN w:val="0"/>
              <w:jc w:val="center"/>
              <w:rPr>
                <w:rFonts w:ascii="Arial Narrow" w:hAnsi="Arial Narrow" w:cs="Arial"/>
              </w:rPr>
            </w:pPr>
            <w:r>
              <w:rPr>
                <w:rFonts w:ascii="Arial Narrow" w:hAnsi="Arial Narrow" w:cs="Arial"/>
              </w:rPr>
              <w:t xml:space="preserve">Washington </w:t>
            </w:r>
          </w:p>
          <w:p w14:paraId="1F7840CE" w14:textId="7DBFDA1E" w:rsidR="00944726" w:rsidRPr="00BB5027" w:rsidRDefault="00944726" w:rsidP="00AF379D">
            <w:pPr>
              <w:widowControl w:val="0"/>
              <w:autoSpaceDE w:val="0"/>
              <w:autoSpaceDN w:val="0"/>
              <w:jc w:val="center"/>
              <w:rPr>
                <w:rFonts w:ascii="Arial Narrow" w:hAnsi="Arial Narrow" w:cs="Arial"/>
              </w:rPr>
            </w:pPr>
            <w:r>
              <w:rPr>
                <w:rFonts w:ascii="Arial Narrow" w:hAnsi="Arial Narrow" w:cs="Arial"/>
              </w:rPr>
              <w:t>(2 programs per county)</w:t>
            </w:r>
          </w:p>
        </w:tc>
        <w:tc>
          <w:tcPr>
            <w:tcW w:w="2812" w:type="dxa"/>
            <w:vAlign w:val="center"/>
          </w:tcPr>
          <w:p w14:paraId="441FBCE7" w14:textId="77777777" w:rsidR="00944726" w:rsidRDefault="00944726" w:rsidP="00AF379D">
            <w:pPr>
              <w:widowControl w:val="0"/>
              <w:autoSpaceDE w:val="0"/>
              <w:autoSpaceDN w:val="0"/>
              <w:jc w:val="center"/>
              <w:rPr>
                <w:rFonts w:ascii="Arial Narrow" w:hAnsi="Arial Narrow" w:cs="Arial"/>
              </w:rPr>
            </w:pPr>
            <w:r>
              <w:rPr>
                <w:rFonts w:ascii="Arial Narrow" w:hAnsi="Arial Narrow" w:cs="Arial"/>
              </w:rPr>
              <w:t>Too Good for Drugs</w:t>
            </w:r>
          </w:p>
          <w:p w14:paraId="635AE1E5" w14:textId="353341E0" w:rsidR="00944726" w:rsidRDefault="00944726" w:rsidP="00AF379D">
            <w:pPr>
              <w:widowControl w:val="0"/>
              <w:autoSpaceDE w:val="0"/>
              <w:autoSpaceDN w:val="0"/>
              <w:jc w:val="center"/>
              <w:rPr>
                <w:rFonts w:ascii="Arial Narrow" w:hAnsi="Arial Narrow" w:cs="Arial"/>
              </w:rPr>
            </w:pPr>
            <w:r>
              <w:rPr>
                <w:rFonts w:ascii="Arial Narrow" w:hAnsi="Arial Narrow" w:cs="Arial"/>
              </w:rPr>
              <w:t>Guiding Good Choices</w:t>
            </w:r>
          </w:p>
        </w:tc>
      </w:tr>
      <w:tr w:rsidR="00BB5027" w:rsidRPr="00BB5027" w14:paraId="128D78DA" w14:textId="77777777" w:rsidTr="00AF379D">
        <w:trPr>
          <w:jc w:val="center"/>
        </w:trPr>
        <w:tc>
          <w:tcPr>
            <w:tcW w:w="0" w:type="auto"/>
            <w:vAlign w:val="center"/>
          </w:tcPr>
          <w:p w14:paraId="3C4C1BE1" w14:textId="109EBFDD"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Lutheran Services Florida</w:t>
            </w:r>
          </w:p>
        </w:tc>
        <w:tc>
          <w:tcPr>
            <w:tcW w:w="2554" w:type="dxa"/>
            <w:vAlign w:val="center"/>
          </w:tcPr>
          <w:p w14:paraId="4ED66A51"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Duval</w:t>
            </w:r>
          </w:p>
          <w:p w14:paraId="12B98EA1"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(1 program per county)</w:t>
            </w:r>
          </w:p>
        </w:tc>
        <w:tc>
          <w:tcPr>
            <w:tcW w:w="2812" w:type="dxa"/>
            <w:vAlign w:val="center"/>
          </w:tcPr>
          <w:p w14:paraId="73A16ADC" w14:textId="336A0DED" w:rsidR="00BB5027" w:rsidRPr="00BB5027" w:rsidRDefault="00944726" w:rsidP="00AF379D">
            <w:pPr>
              <w:widowControl w:val="0"/>
              <w:autoSpaceDE w:val="0"/>
              <w:autoSpaceDN w:val="0"/>
              <w:jc w:val="center"/>
              <w:rPr>
                <w:rFonts w:ascii="Arial Narrow" w:hAnsi="Arial Narrow" w:cs="Arial"/>
              </w:rPr>
            </w:pPr>
            <w:r>
              <w:rPr>
                <w:rFonts w:ascii="Arial Narrow" w:hAnsi="Arial Narrow" w:cs="Arial"/>
              </w:rPr>
              <w:t>Botvin LifeSkills Training</w:t>
            </w:r>
          </w:p>
        </w:tc>
      </w:tr>
      <w:tr w:rsidR="00BB5027" w:rsidRPr="00BB5027" w14:paraId="503CC1F5" w14:textId="77777777" w:rsidTr="00AF379D">
        <w:trPr>
          <w:jc w:val="center"/>
        </w:trPr>
        <w:tc>
          <w:tcPr>
            <w:tcW w:w="0" w:type="auto"/>
            <w:vAlign w:val="center"/>
          </w:tcPr>
          <w:p w14:paraId="586211A5"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Central Florida Behavioral Health Network</w:t>
            </w:r>
          </w:p>
        </w:tc>
        <w:tc>
          <w:tcPr>
            <w:tcW w:w="2554" w:type="dxa"/>
            <w:vAlign w:val="center"/>
          </w:tcPr>
          <w:p w14:paraId="454BC799"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Hillsborough, Manatee</w:t>
            </w:r>
          </w:p>
          <w:p w14:paraId="07351E90"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(1 program per county)</w:t>
            </w:r>
          </w:p>
        </w:tc>
        <w:tc>
          <w:tcPr>
            <w:tcW w:w="2812" w:type="dxa"/>
            <w:vAlign w:val="center"/>
          </w:tcPr>
          <w:p w14:paraId="1BE235F5" w14:textId="07427D4B" w:rsidR="00BB5027" w:rsidRPr="00BB5027" w:rsidRDefault="00944726" w:rsidP="00AF379D">
            <w:pPr>
              <w:widowControl w:val="0"/>
              <w:autoSpaceDE w:val="0"/>
              <w:autoSpaceDN w:val="0"/>
              <w:jc w:val="center"/>
              <w:rPr>
                <w:rFonts w:ascii="Arial Narrow" w:hAnsi="Arial Narrow" w:cs="Arial"/>
              </w:rPr>
            </w:pPr>
            <w:r>
              <w:rPr>
                <w:rFonts w:ascii="Arial Narrow" w:hAnsi="Arial Narrow" w:cs="Arial"/>
              </w:rPr>
              <w:t>Botvin LifeSkills Training</w:t>
            </w:r>
          </w:p>
        </w:tc>
      </w:tr>
      <w:tr w:rsidR="00BB5027" w:rsidRPr="00BB5027" w14:paraId="53E571CF" w14:textId="77777777" w:rsidTr="00AF379D">
        <w:trPr>
          <w:jc w:val="center"/>
        </w:trPr>
        <w:tc>
          <w:tcPr>
            <w:tcW w:w="0" w:type="auto"/>
            <w:vAlign w:val="center"/>
          </w:tcPr>
          <w:p w14:paraId="45E9B88F"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Southeast Florida Behavioral Health Network</w:t>
            </w:r>
          </w:p>
        </w:tc>
        <w:tc>
          <w:tcPr>
            <w:tcW w:w="2554" w:type="dxa"/>
            <w:vAlign w:val="center"/>
          </w:tcPr>
          <w:p w14:paraId="325A16A6"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Palm Beach</w:t>
            </w:r>
          </w:p>
          <w:p w14:paraId="4523A9D5"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(1 program per county)</w:t>
            </w:r>
          </w:p>
        </w:tc>
        <w:tc>
          <w:tcPr>
            <w:tcW w:w="2812" w:type="dxa"/>
            <w:vAlign w:val="center"/>
          </w:tcPr>
          <w:p w14:paraId="04372DD2" w14:textId="1CCD5B39" w:rsidR="00BB5027" w:rsidRPr="00BB5027" w:rsidRDefault="00944726" w:rsidP="00AF379D">
            <w:pPr>
              <w:widowControl w:val="0"/>
              <w:autoSpaceDE w:val="0"/>
              <w:autoSpaceDN w:val="0"/>
              <w:jc w:val="center"/>
              <w:rPr>
                <w:rFonts w:ascii="Arial Narrow" w:hAnsi="Arial Narrow" w:cs="Arial"/>
              </w:rPr>
            </w:pPr>
            <w:r>
              <w:rPr>
                <w:rFonts w:ascii="Arial Narrow" w:hAnsi="Arial Narrow" w:cs="Arial"/>
              </w:rPr>
              <w:t>Botvin LifeSkills Training</w:t>
            </w:r>
          </w:p>
        </w:tc>
      </w:tr>
      <w:tr w:rsidR="00BB5027" w:rsidRPr="00BB5027" w14:paraId="0A7FAF22" w14:textId="77777777" w:rsidTr="00AF379D">
        <w:trPr>
          <w:jc w:val="center"/>
        </w:trPr>
        <w:tc>
          <w:tcPr>
            <w:tcW w:w="0" w:type="auto"/>
            <w:vAlign w:val="center"/>
          </w:tcPr>
          <w:p w14:paraId="244BE599"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Broward Behavioral Health Coalition</w:t>
            </w:r>
          </w:p>
        </w:tc>
        <w:tc>
          <w:tcPr>
            <w:tcW w:w="2554" w:type="dxa"/>
            <w:vAlign w:val="center"/>
          </w:tcPr>
          <w:p w14:paraId="0EB3D86E"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Broward</w:t>
            </w:r>
          </w:p>
          <w:p w14:paraId="2482B021" w14:textId="77777777" w:rsidR="00BB5027" w:rsidRPr="00BB5027" w:rsidRDefault="00BB5027" w:rsidP="00AF379D">
            <w:pPr>
              <w:widowControl w:val="0"/>
              <w:autoSpaceDE w:val="0"/>
              <w:autoSpaceDN w:val="0"/>
              <w:jc w:val="center"/>
              <w:rPr>
                <w:rFonts w:ascii="Arial Narrow" w:hAnsi="Arial Narrow" w:cs="Arial"/>
              </w:rPr>
            </w:pPr>
            <w:r w:rsidRPr="00BB5027">
              <w:rPr>
                <w:rFonts w:ascii="Arial Narrow" w:hAnsi="Arial Narrow" w:cs="Arial"/>
              </w:rPr>
              <w:t>(1 program per county)</w:t>
            </w:r>
          </w:p>
        </w:tc>
        <w:tc>
          <w:tcPr>
            <w:tcW w:w="2812" w:type="dxa"/>
            <w:vAlign w:val="center"/>
          </w:tcPr>
          <w:p w14:paraId="44ABB65C" w14:textId="0D315D4C" w:rsidR="00BB5027" w:rsidRPr="00BB5027" w:rsidRDefault="00944726" w:rsidP="00AF379D">
            <w:pPr>
              <w:widowControl w:val="0"/>
              <w:autoSpaceDE w:val="0"/>
              <w:autoSpaceDN w:val="0"/>
              <w:jc w:val="center"/>
              <w:rPr>
                <w:rFonts w:ascii="Arial Narrow" w:hAnsi="Arial Narrow" w:cs="Arial"/>
              </w:rPr>
            </w:pPr>
            <w:r>
              <w:rPr>
                <w:rFonts w:ascii="Arial Narrow" w:hAnsi="Arial Narrow" w:cs="Arial"/>
              </w:rPr>
              <w:t>Botvin LifeSkills Training</w:t>
            </w:r>
          </w:p>
        </w:tc>
      </w:tr>
    </w:tbl>
    <w:p w14:paraId="220178E7" w14:textId="77777777" w:rsidR="0035139C" w:rsidRDefault="00BB5027" w:rsidP="0035139C">
      <w:pPr>
        <w:pStyle w:val="ListParagraph"/>
        <w:numPr>
          <w:ilvl w:val="0"/>
          <w:numId w:val="37"/>
        </w:numPr>
        <w:spacing w:before="120" w:after="120" w:line="240" w:lineRule="auto"/>
        <w:contextualSpacing w:val="0"/>
        <w:rPr>
          <w:rFonts w:ascii="Arial Narrow" w:hAnsi="Arial Narrow" w:cs="Arial"/>
          <w:b/>
        </w:rPr>
      </w:pPr>
      <w:r w:rsidRPr="00B42E4B">
        <w:rPr>
          <w:rFonts w:ascii="Arial Narrow" w:hAnsi="Arial Narrow" w:cs="Arial"/>
          <w:b/>
        </w:rPr>
        <w:t>Reporting</w:t>
      </w:r>
    </w:p>
    <w:p w14:paraId="30F56BB0" w14:textId="77777777" w:rsidR="0035139C" w:rsidRDefault="00A86BC6" w:rsidP="0035139C">
      <w:pPr>
        <w:pStyle w:val="ListParagraph"/>
        <w:spacing w:before="120" w:after="120" w:line="240" w:lineRule="auto"/>
        <w:contextualSpacing w:val="0"/>
        <w:rPr>
          <w:rFonts w:ascii="Arial Narrow" w:hAnsi="Arial Narrow" w:cs="Arial"/>
        </w:rPr>
      </w:pPr>
      <w:r w:rsidRPr="0035139C">
        <w:rPr>
          <w:rFonts w:ascii="Arial Narrow" w:hAnsi="Arial Narrow" w:cs="Arial"/>
        </w:rPr>
        <w:t>The Managing Entity shall execute subcontracts according to the terms of award which will be incorporated by reference into each subcontract. At a minimum, subcontracts shall require the following reporting elements:</w:t>
      </w:r>
    </w:p>
    <w:p w14:paraId="3B0D1965" w14:textId="77777777" w:rsidR="0035139C" w:rsidRPr="0035139C" w:rsidRDefault="00CD1DBB" w:rsidP="0035139C">
      <w:pPr>
        <w:pStyle w:val="ListParagraph"/>
        <w:numPr>
          <w:ilvl w:val="0"/>
          <w:numId w:val="43"/>
        </w:numPr>
        <w:spacing w:before="120" w:after="120" w:line="240" w:lineRule="auto"/>
        <w:contextualSpacing w:val="0"/>
        <w:rPr>
          <w:rFonts w:ascii="Arial Narrow" w:hAnsi="Arial Narrow" w:cs="Arial"/>
          <w:b/>
        </w:rPr>
      </w:pPr>
      <w:r w:rsidRPr="0035139C">
        <w:rPr>
          <w:rFonts w:ascii="Arial Narrow" w:hAnsi="Arial Narrow"/>
          <w:b/>
        </w:rPr>
        <w:t xml:space="preserve">Monthly </w:t>
      </w:r>
      <w:r w:rsidR="00BB5027" w:rsidRPr="0035139C">
        <w:rPr>
          <w:rFonts w:ascii="Arial Narrow" w:hAnsi="Arial Narrow"/>
          <w:b/>
        </w:rPr>
        <w:t xml:space="preserve">Process Data </w:t>
      </w:r>
    </w:p>
    <w:p w14:paraId="053007D7" w14:textId="02C8E964" w:rsidR="0035139C" w:rsidRDefault="0068133A" w:rsidP="0035139C">
      <w:pPr>
        <w:pStyle w:val="ListParagraph"/>
        <w:spacing w:before="120" w:after="120" w:line="240" w:lineRule="auto"/>
        <w:ind w:left="1080"/>
        <w:contextualSpacing w:val="0"/>
        <w:rPr>
          <w:rFonts w:ascii="Arial Narrow" w:hAnsi="Arial Narrow" w:cs="Arial"/>
        </w:rPr>
      </w:pPr>
      <w:r w:rsidRPr="0035139C">
        <w:rPr>
          <w:rFonts w:ascii="Arial Narrow" w:hAnsi="Arial Narrow" w:cs="Arial"/>
        </w:rPr>
        <w:t xml:space="preserve">Each </w:t>
      </w:r>
      <w:r w:rsidR="00AF379D">
        <w:rPr>
          <w:rFonts w:ascii="Arial Narrow" w:hAnsi="Arial Narrow" w:cs="Arial"/>
        </w:rPr>
        <w:t>Network Service Provider</w:t>
      </w:r>
      <w:r w:rsidRPr="0035139C">
        <w:rPr>
          <w:rFonts w:ascii="Arial Narrow" w:hAnsi="Arial Narrow" w:cs="Arial"/>
        </w:rPr>
        <w:t xml:space="preserve"> shall upload monthly data </w:t>
      </w:r>
      <w:r w:rsidR="00CD1DBB" w:rsidRPr="0035139C">
        <w:rPr>
          <w:rFonts w:ascii="Arial Narrow" w:hAnsi="Arial Narrow" w:cs="Arial"/>
        </w:rPr>
        <w:t xml:space="preserve">into PBPS </w:t>
      </w:r>
      <w:r w:rsidRPr="0035139C">
        <w:rPr>
          <w:rFonts w:ascii="Arial Narrow" w:hAnsi="Arial Narrow" w:cs="Arial"/>
        </w:rPr>
        <w:t>of the services and activities performed by the provider</w:t>
      </w:r>
      <w:r w:rsidR="00520F72">
        <w:rPr>
          <w:rFonts w:ascii="Arial Narrow" w:hAnsi="Arial Narrow" w:cs="Arial"/>
        </w:rPr>
        <w:t>.</w:t>
      </w:r>
    </w:p>
    <w:p w14:paraId="4219FA7F" w14:textId="77777777" w:rsidR="0035139C" w:rsidRDefault="00CD1DBB" w:rsidP="0035139C">
      <w:pPr>
        <w:pStyle w:val="ListParagraph"/>
        <w:numPr>
          <w:ilvl w:val="0"/>
          <w:numId w:val="43"/>
        </w:numPr>
        <w:spacing w:before="120" w:after="120" w:line="240" w:lineRule="auto"/>
        <w:contextualSpacing w:val="0"/>
        <w:rPr>
          <w:rFonts w:ascii="Arial Narrow" w:hAnsi="Arial Narrow" w:cs="Arial"/>
          <w:b/>
        </w:rPr>
      </w:pPr>
      <w:r w:rsidRPr="0035139C">
        <w:rPr>
          <w:rFonts w:ascii="Arial Narrow" w:hAnsi="Arial Narrow" w:cs="Arial"/>
          <w:b/>
        </w:rPr>
        <w:t>Quarterly School-Based Prevention Program Report</w:t>
      </w:r>
    </w:p>
    <w:p w14:paraId="44BA3083" w14:textId="2D3EB948" w:rsidR="0035139C" w:rsidRDefault="00CD1DBB" w:rsidP="0035139C">
      <w:pPr>
        <w:pStyle w:val="ListParagraph"/>
        <w:spacing w:before="120" w:after="120" w:line="240" w:lineRule="auto"/>
        <w:ind w:left="1080"/>
        <w:contextualSpacing w:val="0"/>
        <w:rPr>
          <w:rFonts w:ascii="Arial Narrow" w:hAnsi="Arial Narrow" w:cs="Arial"/>
        </w:rPr>
      </w:pPr>
      <w:r w:rsidRPr="0035139C">
        <w:rPr>
          <w:rFonts w:ascii="Arial Narrow" w:hAnsi="Arial Narrow" w:cs="Arial"/>
        </w:rPr>
        <w:t xml:space="preserve">Each </w:t>
      </w:r>
      <w:r w:rsidR="00AF379D" w:rsidRPr="00AF379D">
        <w:rPr>
          <w:rFonts w:ascii="Arial Narrow" w:hAnsi="Arial Narrow" w:cs="Arial"/>
        </w:rPr>
        <w:t xml:space="preserve">Network Service Provider </w:t>
      </w:r>
      <w:r w:rsidRPr="0035139C">
        <w:rPr>
          <w:rFonts w:ascii="Arial Narrow" w:hAnsi="Arial Narrow" w:cs="Arial"/>
        </w:rPr>
        <w:t xml:space="preserve">shall complete </w:t>
      </w:r>
      <w:r w:rsidRPr="00520F72">
        <w:rPr>
          <w:rFonts w:ascii="Arial Narrow" w:hAnsi="Arial Narrow" w:cs="Arial"/>
          <w:b/>
        </w:rPr>
        <w:t>Template 27</w:t>
      </w:r>
      <w:r w:rsidR="00AF379D">
        <w:rPr>
          <w:rFonts w:ascii="Arial Narrow" w:hAnsi="Arial Narrow" w:cs="Arial"/>
          <w:b/>
        </w:rPr>
        <w:t xml:space="preserve"> </w:t>
      </w:r>
      <w:r w:rsidRPr="00520F72">
        <w:rPr>
          <w:rFonts w:ascii="Arial Narrow" w:hAnsi="Arial Narrow" w:cs="Arial"/>
          <w:b/>
        </w:rPr>
        <w:t xml:space="preserve">– Quarterly School-Based Prevention Program Report </w:t>
      </w:r>
      <w:r w:rsidRPr="0035139C">
        <w:rPr>
          <w:rFonts w:ascii="Arial Narrow" w:hAnsi="Arial Narrow" w:cs="Arial"/>
        </w:rPr>
        <w:t>and upload into PBPS by the 15</w:t>
      </w:r>
      <w:r w:rsidRPr="0035139C">
        <w:rPr>
          <w:rFonts w:ascii="Arial Narrow" w:hAnsi="Arial Narrow" w:cs="Arial"/>
          <w:vertAlign w:val="superscript"/>
        </w:rPr>
        <w:t>th</w:t>
      </w:r>
      <w:r w:rsidRPr="0035139C">
        <w:rPr>
          <w:rFonts w:ascii="Arial Narrow" w:hAnsi="Arial Narrow" w:cs="Arial"/>
        </w:rPr>
        <w:t xml:space="preserve"> </w:t>
      </w:r>
      <w:r w:rsidR="008216B0" w:rsidRPr="0035139C">
        <w:rPr>
          <w:rFonts w:ascii="Arial Narrow" w:hAnsi="Arial Narrow" w:cs="Arial"/>
        </w:rPr>
        <w:t xml:space="preserve">of the month </w:t>
      </w:r>
      <w:r w:rsidRPr="0035139C">
        <w:rPr>
          <w:rFonts w:ascii="Arial Narrow" w:hAnsi="Arial Narrow" w:cs="Arial"/>
        </w:rPr>
        <w:t xml:space="preserve">following the end of </w:t>
      </w:r>
      <w:r w:rsidR="00520F72">
        <w:rPr>
          <w:rFonts w:ascii="Arial Narrow" w:hAnsi="Arial Narrow" w:cs="Arial"/>
        </w:rPr>
        <w:t>each</w:t>
      </w:r>
      <w:r w:rsidRPr="0035139C">
        <w:rPr>
          <w:rFonts w:ascii="Arial Narrow" w:hAnsi="Arial Narrow" w:cs="Arial"/>
        </w:rPr>
        <w:t xml:space="preserve"> quarter. </w:t>
      </w:r>
    </w:p>
    <w:p w14:paraId="292DA382" w14:textId="77777777" w:rsidR="0035139C" w:rsidRDefault="008216B0" w:rsidP="0035139C">
      <w:pPr>
        <w:pStyle w:val="ListParagraph"/>
        <w:numPr>
          <w:ilvl w:val="0"/>
          <w:numId w:val="43"/>
        </w:numPr>
        <w:spacing w:before="120" w:after="120" w:line="240" w:lineRule="auto"/>
        <w:contextualSpacing w:val="0"/>
        <w:rPr>
          <w:rFonts w:ascii="Arial Narrow" w:hAnsi="Arial Narrow" w:cs="Arial"/>
          <w:b/>
        </w:rPr>
      </w:pPr>
      <w:r w:rsidRPr="0035139C">
        <w:rPr>
          <w:rFonts w:ascii="Arial Narrow" w:hAnsi="Arial Narrow" w:cs="Arial"/>
          <w:b/>
        </w:rPr>
        <w:t>Quarterly Pre- and Post-Test Data</w:t>
      </w:r>
    </w:p>
    <w:p w14:paraId="07BB5631" w14:textId="7AF0D9CB" w:rsidR="00BB5027" w:rsidRPr="0035139C" w:rsidRDefault="008216B0" w:rsidP="0035139C">
      <w:pPr>
        <w:pStyle w:val="ListParagraph"/>
        <w:spacing w:before="120" w:after="120" w:line="240" w:lineRule="auto"/>
        <w:ind w:left="1080"/>
        <w:contextualSpacing w:val="0"/>
        <w:rPr>
          <w:rFonts w:ascii="Arial Narrow" w:hAnsi="Arial Narrow" w:cs="Arial"/>
          <w:b/>
        </w:rPr>
      </w:pPr>
      <w:r w:rsidRPr="0035139C">
        <w:rPr>
          <w:rFonts w:ascii="Arial Narrow" w:hAnsi="Arial Narrow" w:cs="Arial"/>
        </w:rPr>
        <w:t>Each school-based prevention provider shall send completed pre- and post-test materials to the PFS Lead Evaluator on a quarterly basis</w:t>
      </w:r>
      <w:r w:rsidR="0057081B" w:rsidRPr="0035139C">
        <w:rPr>
          <w:rFonts w:ascii="Arial Narrow" w:hAnsi="Arial Narrow" w:cs="Arial"/>
        </w:rPr>
        <w:t>. The PFS Lead Evaluator</w:t>
      </w:r>
      <w:r w:rsidRPr="0035139C">
        <w:rPr>
          <w:rFonts w:ascii="Arial Narrow" w:hAnsi="Arial Narrow" w:cs="Arial"/>
        </w:rPr>
        <w:t xml:space="preserve"> </w:t>
      </w:r>
      <w:r w:rsidR="0057081B" w:rsidRPr="0035139C">
        <w:rPr>
          <w:rFonts w:ascii="Arial Narrow" w:hAnsi="Arial Narrow" w:cs="Arial"/>
        </w:rPr>
        <w:t>may request additional data from providers to ensure programs are implemented to fidelity and assist with federal reporting needs.</w:t>
      </w:r>
      <w:r w:rsidR="0057081B" w:rsidRPr="0035139C" w:rsidDel="008216B0">
        <w:rPr>
          <w:rFonts w:ascii="Arial Narrow" w:hAnsi="Arial Narrow" w:cs="Arial"/>
        </w:rPr>
        <w:t xml:space="preserve"> </w:t>
      </w:r>
      <w:r w:rsidR="00BB5027" w:rsidRPr="0035139C">
        <w:rPr>
          <w:rFonts w:ascii="Arial Narrow" w:hAnsi="Arial Narrow"/>
          <w:u w:val="single"/>
        </w:rPr>
        <w:fldChar w:fldCharType="begin"/>
      </w:r>
      <w:r w:rsidR="00BB5027" w:rsidRPr="0035139C">
        <w:rPr>
          <w:rFonts w:ascii="Arial Narrow" w:hAnsi="Arial Narrow"/>
          <w:u w:val="single"/>
        </w:rPr>
        <w:instrText xml:space="preserve"> LINK </w:instrText>
      </w:r>
      <w:r w:rsidR="00836854" w:rsidRPr="0035139C">
        <w:rPr>
          <w:rFonts w:ascii="Arial Narrow" w:hAnsi="Arial Narrow"/>
          <w:u w:val="single"/>
        </w:rPr>
        <w:instrText xml:space="preserve">Excel.Sheet.12 "C:\\Users\\Walls-Jilynda\\Desktop\\PFS\\Quarterly Reports-School based\\reporting periods.xlsx" Sheet1!R1C1:R9C3 </w:instrText>
      </w:r>
      <w:r w:rsidR="00BB5027" w:rsidRPr="0035139C">
        <w:rPr>
          <w:rFonts w:ascii="Arial Narrow" w:hAnsi="Arial Narrow"/>
          <w:u w:val="single"/>
        </w:rPr>
        <w:instrText xml:space="preserve">\a \f 4 \h  \* MERGEFORMAT </w:instrText>
      </w:r>
      <w:r w:rsidR="00BB5027" w:rsidRPr="0035139C">
        <w:rPr>
          <w:rFonts w:ascii="Arial Narrow" w:hAnsi="Arial Narrow"/>
          <w:u w:val="single"/>
        </w:rPr>
        <w:fldChar w:fldCharType="separate"/>
      </w:r>
    </w:p>
    <w:p w14:paraId="468159B5" w14:textId="6B5B5BB4" w:rsidR="0035139C" w:rsidRDefault="00BB5027" w:rsidP="0035139C">
      <w:pPr>
        <w:pStyle w:val="ListParagraph"/>
        <w:numPr>
          <w:ilvl w:val="0"/>
          <w:numId w:val="37"/>
        </w:numPr>
        <w:spacing w:before="120" w:after="120" w:line="240" w:lineRule="auto"/>
        <w:contextualSpacing w:val="0"/>
        <w:rPr>
          <w:rFonts w:ascii="Arial Narrow" w:hAnsi="Arial Narrow" w:cs="Arial"/>
          <w:b/>
        </w:rPr>
      </w:pPr>
      <w:r w:rsidRPr="0035139C">
        <w:rPr>
          <w:rFonts w:ascii="Arial Narrow" w:hAnsi="Arial Narrow" w:cs="Arial"/>
          <w:u w:val="single"/>
        </w:rPr>
        <w:fldChar w:fldCharType="end"/>
      </w:r>
      <w:r w:rsidR="0035139C" w:rsidRPr="0035139C">
        <w:rPr>
          <w:rFonts w:ascii="Arial Narrow" w:hAnsi="Arial Narrow" w:cs="Arial"/>
          <w:b/>
        </w:rPr>
        <w:t xml:space="preserve"> </w:t>
      </w:r>
      <w:r w:rsidR="0035139C">
        <w:rPr>
          <w:rFonts w:ascii="Arial Narrow" w:hAnsi="Arial Narrow" w:cs="Arial"/>
          <w:b/>
        </w:rPr>
        <w:t>Implementation</w:t>
      </w:r>
    </w:p>
    <w:p w14:paraId="7814A5F1" w14:textId="7991AF75" w:rsidR="0057081B" w:rsidRPr="0035139C" w:rsidRDefault="0057081B" w:rsidP="00AF379D">
      <w:pPr>
        <w:pStyle w:val="ListParagraph"/>
        <w:widowControl w:val="0"/>
        <w:autoSpaceDE w:val="0"/>
        <w:autoSpaceDN w:val="0"/>
        <w:spacing w:before="120" w:after="120" w:line="240" w:lineRule="auto"/>
        <w:contextualSpacing w:val="0"/>
        <w:jc w:val="both"/>
        <w:rPr>
          <w:rFonts w:ascii="Arial Narrow" w:hAnsi="Arial Narrow" w:cs="Arial"/>
        </w:rPr>
      </w:pPr>
      <w:r w:rsidRPr="0035139C">
        <w:rPr>
          <w:rFonts w:ascii="Arial Narrow" w:hAnsi="Arial Narrow" w:cs="Arial"/>
        </w:rPr>
        <w:t xml:space="preserve">All school-based prevention programs must be implemented to fidelity. An overview of each program is provided below. </w:t>
      </w:r>
    </w:p>
    <w:p w14:paraId="3B6D8606" w14:textId="77777777" w:rsidR="00AF379D" w:rsidRDefault="00AF379D">
      <w:pPr>
        <w:rPr>
          <w:rFonts w:ascii="Arial Narrow" w:hAnsi="Arial Narrow" w:cs="Arial"/>
          <w:b/>
        </w:rPr>
      </w:pPr>
      <w:r>
        <w:rPr>
          <w:rFonts w:ascii="Arial Narrow" w:hAnsi="Arial Narrow" w:cs="Arial"/>
          <w:b/>
        </w:rPr>
        <w:br w:type="page"/>
      </w:r>
    </w:p>
    <w:p w14:paraId="504F613C" w14:textId="49E398E6" w:rsidR="00BB5027" w:rsidRDefault="008661B2" w:rsidP="00AF379D">
      <w:pPr>
        <w:pStyle w:val="ListParagraph"/>
        <w:widowControl w:val="0"/>
        <w:autoSpaceDE w:val="0"/>
        <w:autoSpaceDN w:val="0"/>
        <w:spacing w:before="120" w:after="120" w:line="240" w:lineRule="auto"/>
        <w:contextualSpacing w:val="0"/>
        <w:jc w:val="both"/>
        <w:rPr>
          <w:rFonts w:ascii="Arial Narrow" w:hAnsi="Arial Narrow" w:cs="Arial"/>
          <w:b/>
        </w:rPr>
      </w:pPr>
      <w:r>
        <w:rPr>
          <w:rFonts w:ascii="Arial Narrow" w:hAnsi="Arial Narrow" w:cs="Arial"/>
          <w:b/>
        </w:rPr>
        <w:lastRenderedPageBreak/>
        <w:t>Botvin LifeSkills Training</w:t>
      </w:r>
      <w:r w:rsidR="00985A2D">
        <w:rPr>
          <w:rFonts w:ascii="Arial Narrow" w:hAnsi="Arial Narrow" w:cs="Arial"/>
          <w:b/>
        </w:rPr>
        <w:t xml:space="preserve"> (LST)</w:t>
      </w:r>
    </w:p>
    <w:p w14:paraId="53670B4E" w14:textId="77777777" w:rsidR="00AF379D" w:rsidRDefault="00985A2D" w:rsidP="00AF379D">
      <w:pPr>
        <w:pStyle w:val="ListParagraph"/>
        <w:widowControl w:val="0"/>
        <w:autoSpaceDE w:val="0"/>
        <w:autoSpaceDN w:val="0"/>
        <w:spacing w:before="120" w:after="120" w:line="240" w:lineRule="auto"/>
        <w:contextualSpacing w:val="0"/>
        <w:jc w:val="both"/>
        <w:rPr>
          <w:rFonts w:ascii="Arial Narrow" w:hAnsi="Arial Narrow" w:cs="Arial"/>
        </w:rPr>
      </w:pPr>
      <w:r w:rsidRPr="0035139C">
        <w:rPr>
          <w:rFonts w:ascii="Arial Narrow" w:hAnsi="Arial Narrow" w:cs="Arial"/>
        </w:rPr>
        <w:t xml:space="preserve">LST is a school-based program that aims to prevent substance use and violence by targeting the major social and psychological factors that promote the initiation of substance use and other risky behaviors. LST is based on both the social influence and competence enhancement models of prevention. Consistent with this theoretical framework, LST addresses multiple risk and protective factors and teaches personal and social skills that build resilience and help youth navigate developmental tasks, including the skills necessary to understand and resist prodrug influences. </w:t>
      </w:r>
    </w:p>
    <w:p w14:paraId="4B864495" w14:textId="23BAE16E" w:rsidR="00985A2D" w:rsidRDefault="00985A2D" w:rsidP="00AF379D">
      <w:pPr>
        <w:pStyle w:val="ListParagraph"/>
        <w:widowControl w:val="0"/>
        <w:autoSpaceDE w:val="0"/>
        <w:autoSpaceDN w:val="0"/>
        <w:spacing w:before="120" w:after="120" w:line="240" w:lineRule="auto"/>
        <w:contextualSpacing w:val="0"/>
        <w:jc w:val="both"/>
        <w:rPr>
          <w:rFonts w:ascii="Arial Narrow" w:hAnsi="Arial Narrow" w:cs="Arial"/>
        </w:rPr>
      </w:pPr>
      <w:r w:rsidRPr="0035139C">
        <w:rPr>
          <w:rFonts w:ascii="Arial Narrow" w:hAnsi="Arial Narrow" w:cs="Arial"/>
        </w:rPr>
        <w:t xml:space="preserve">LST is designed to provide information relevant to the important life transitions that adolescents and young teens face, using culturally sensitive and developmentally and age-appropriate language and content. Separate LST programs are offered for middle school (grades 6-9) and high school (grades 9-12). </w:t>
      </w:r>
    </w:p>
    <w:p w14:paraId="4E9A3028" w14:textId="37DB9206" w:rsidR="00985A2D" w:rsidRDefault="00985A2D" w:rsidP="00AF379D">
      <w:pPr>
        <w:pStyle w:val="ListParagraph"/>
        <w:widowControl w:val="0"/>
        <w:autoSpaceDE w:val="0"/>
        <w:autoSpaceDN w:val="0"/>
        <w:spacing w:before="120" w:after="120" w:line="240" w:lineRule="auto"/>
        <w:contextualSpacing w:val="0"/>
        <w:jc w:val="both"/>
        <w:rPr>
          <w:rFonts w:ascii="Arial Narrow" w:hAnsi="Arial Narrow" w:cs="Arial"/>
        </w:rPr>
      </w:pPr>
      <w:r w:rsidRPr="0035139C">
        <w:rPr>
          <w:rFonts w:ascii="Arial Narrow" w:hAnsi="Arial Narrow" w:cs="Arial"/>
        </w:rPr>
        <w:t xml:space="preserve">The LST middle school program </w:t>
      </w:r>
      <w:r>
        <w:rPr>
          <w:rFonts w:ascii="Arial Narrow" w:hAnsi="Arial Narrow" w:cs="Arial"/>
        </w:rPr>
        <w:t xml:space="preserve">(grades 6-9) </w:t>
      </w:r>
      <w:r w:rsidRPr="0035139C">
        <w:rPr>
          <w:rFonts w:ascii="Arial Narrow" w:hAnsi="Arial Narrow" w:cs="Arial"/>
        </w:rPr>
        <w:t xml:space="preserve">is designed to be taught in sequence over three years in middle school or junior high. The curriculum is intended to be taught sequentially to build on skills learned in the previous levels. </w:t>
      </w:r>
      <w:r>
        <w:rPr>
          <w:rFonts w:ascii="Arial Narrow" w:hAnsi="Arial Narrow" w:cs="Arial"/>
        </w:rPr>
        <w:t xml:space="preserve">Any students taking the program for the first time should receive level 1, followed by booster sessions (levels 2 and 3). </w:t>
      </w:r>
      <w:r w:rsidR="0057081B">
        <w:rPr>
          <w:rFonts w:ascii="Arial Narrow" w:hAnsi="Arial Narrow" w:cs="Arial"/>
        </w:rPr>
        <w:t xml:space="preserve">Class sessions consist of 30-45 minute sessions, taught on either an intensive schedule (two to three times per week) until the program is complete, or on a more extended schedule (once per week). Additional information on the LST middle school program can be found at </w:t>
      </w:r>
      <w:hyperlink r:id="rId8" w:history="1">
        <w:r w:rsidR="0057081B" w:rsidRPr="008E493F">
          <w:rPr>
            <w:rStyle w:val="Hyperlink"/>
            <w:rFonts w:ascii="Arial Narrow" w:hAnsi="Arial Narrow" w:cs="Arial"/>
          </w:rPr>
          <w:t>https://www.lifeskillstraining.com/botvin-lifeskills-training-middle-school-program/</w:t>
        </w:r>
      </w:hyperlink>
      <w:r w:rsidR="0057081B">
        <w:rPr>
          <w:rFonts w:ascii="Arial Narrow" w:hAnsi="Arial Narrow" w:cs="Arial"/>
        </w:rPr>
        <w:t xml:space="preserve"> </w:t>
      </w:r>
    </w:p>
    <w:p w14:paraId="1AE045A1" w14:textId="40BE6A59" w:rsidR="00985A2D" w:rsidRDefault="00985A2D" w:rsidP="00AF379D">
      <w:pPr>
        <w:pStyle w:val="ListParagraph"/>
        <w:widowControl w:val="0"/>
        <w:numPr>
          <w:ilvl w:val="0"/>
          <w:numId w:val="40"/>
        </w:numPr>
        <w:autoSpaceDE w:val="0"/>
        <w:autoSpaceDN w:val="0"/>
        <w:spacing w:before="120" w:after="120" w:line="240" w:lineRule="auto"/>
        <w:contextualSpacing w:val="0"/>
        <w:jc w:val="both"/>
        <w:rPr>
          <w:rFonts w:ascii="Arial Narrow" w:hAnsi="Arial Narrow" w:cs="Arial"/>
        </w:rPr>
      </w:pPr>
      <w:r>
        <w:rPr>
          <w:rFonts w:ascii="Arial Narrow" w:hAnsi="Arial Narrow" w:cs="Arial"/>
        </w:rPr>
        <w:t>Foundation Level 1 (ideally implemented in grades 6/7): 15 class sessions, including 3 optional violence prevention lessons</w:t>
      </w:r>
    </w:p>
    <w:p w14:paraId="3D4379FD" w14:textId="57A241AA" w:rsidR="005C238F" w:rsidRDefault="00985A2D" w:rsidP="00AF379D">
      <w:pPr>
        <w:pStyle w:val="ListParagraph"/>
        <w:widowControl w:val="0"/>
        <w:numPr>
          <w:ilvl w:val="0"/>
          <w:numId w:val="40"/>
        </w:numPr>
        <w:autoSpaceDE w:val="0"/>
        <w:autoSpaceDN w:val="0"/>
        <w:spacing w:before="120" w:after="120" w:line="240" w:lineRule="auto"/>
        <w:contextualSpacing w:val="0"/>
        <w:jc w:val="both"/>
        <w:rPr>
          <w:rFonts w:ascii="Arial Narrow" w:hAnsi="Arial Narrow" w:cs="Arial"/>
        </w:rPr>
      </w:pPr>
      <w:r>
        <w:rPr>
          <w:rFonts w:ascii="Arial Narrow" w:hAnsi="Arial Narrow" w:cs="Arial"/>
        </w:rPr>
        <w:t>Booster Level 2 (only implemented after Level 1): 10 class sessions, including 2 optional violence prevention lessons</w:t>
      </w:r>
    </w:p>
    <w:p w14:paraId="547CED23" w14:textId="4783C5F6" w:rsidR="00985A2D" w:rsidRPr="0035139C" w:rsidRDefault="00985A2D" w:rsidP="00AF379D">
      <w:pPr>
        <w:pStyle w:val="ListParagraph"/>
        <w:widowControl w:val="0"/>
        <w:numPr>
          <w:ilvl w:val="0"/>
          <w:numId w:val="40"/>
        </w:numPr>
        <w:autoSpaceDE w:val="0"/>
        <w:autoSpaceDN w:val="0"/>
        <w:spacing w:before="120" w:after="120" w:line="240" w:lineRule="auto"/>
        <w:contextualSpacing w:val="0"/>
        <w:jc w:val="both"/>
        <w:rPr>
          <w:rFonts w:ascii="Arial Narrow" w:hAnsi="Arial Narrow" w:cs="Arial"/>
        </w:rPr>
      </w:pPr>
      <w:r>
        <w:rPr>
          <w:rFonts w:ascii="Arial Narrow" w:hAnsi="Arial Narrow" w:cs="Arial"/>
        </w:rPr>
        <w:t>Booster Level 3 (only implemented after Level 2): 5 class sessions, including 4 optional violence prevention lessons</w:t>
      </w:r>
    </w:p>
    <w:p w14:paraId="2C62A6FA" w14:textId="77777777" w:rsidR="00AF379D" w:rsidRDefault="0057081B" w:rsidP="00AF379D">
      <w:pPr>
        <w:pStyle w:val="ListParagraph"/>
        <w:widowControl w:val="0"/>
        <w:autoSpaceDE w:val="0"/>
        <w:autoSpaceDN w:val="0"/>
        <w:spacing w:before="120" w:after="120" w:line="240" w:lineRule="auto"/>
        <w:contextualSpacing w:val="0"/>
        <w:jc w:val="both"/>
        <w:rPr>
          <w:rFonts w:ascii="Arial Narrow" w:hAnsi="Arial Narrow" w:cs="Arial"/>
        </w:rPr>
      </w:pPr>
      <w:r w:rsidRPr="0035139C">
        <w:rPr>
          <w:rFonts w:ascii="Arial Narrow" w:hAnsi="Arial Narrow" w:cs="Arial"/>
        </w:rPr>
        <w:t>The LST high school program is a highly interactive, skills-based program designed to promote positive health and personal development for youth in grades 9 or 10.</w:t>
      </w:r>
      <w:r>
        <w:rPr>
          <w:rFonts w:ascii="Arial Narrow" w:hAnsi="Arial Narrow" w:cs="Arial"/>
        </w:rPr>
        <w:t xml:space="preserve"> The LST high school program consists of 10 class sessions, at approximately 40-45 minutes per session. The LST high school program is taught either on an intensive schedule (two to three times per week) until the program is complete, or on a more extended schedule (once per week for 10 weeks). The LST high school program can be used alone or in combination as maintenance to the LST middle school program or the LST transitions program. </w:t>
      </w:r>
    </w:p>
    <w:p w14:paraId="06C04B48" w14:textId="4E263F99" w:rsidR="0057081B" w:rsidRPr="0035139C" w:rsidRDefault="0057081B" w:rsidP="00AF379D">
      <w:pPr>
        <w:pStyle w:val="ListParagraph"/>
        <w:widowControl w:val="0"/>
        <w:autoSpaceDE w:val="0"/>
        <w:autoSpaceDN w:val="0"/>
        <w:spacing w:before="120" w:after="120" w:line="240" w:lineRule="auto"/>
        <w:contextualSpacing w:val="0"/>
        <w:jc w:val="both"/>
        <w:rPr>
          <w:rFonts w:ascii="Arial Narrow" w:hAnsi="Arial Narrow" w:cs="Arial"/>
        </w:rPr>
      </w:pPr>
      <w:r>
        <w:rPr>
          <w:rFonts w:ascii="Arial Narrow" w:hAnsi="Arial Narrow" w:cs="Arial"/>
        </w:rPr>
        <w:t xml:space="preserve">Additional information on the LST high school program can be found at </w:t>
      </w:r>
      <w:hyperlink r:id="rId9" w:history="1">
        <w:r w:rsidRPr="008E493F">
          <w:rPr>
            <w:rStyle w:val="Hyperlink"/>
            <w:rFonts w:ascii="Arial Narrow" w:hAnsi="Arial Narrow" w:cs="Arial"/>
          </w:rPr>
          <w:t>https://www.lifeskillstraining.com/botvin-lifeskills-training-high-school-program/</w:t>
        </w:r>
      </w:hyperlink>
      <w:r>
        <w:rPr>
          <w:rFonts w:ascii="Arial Narrow" w:hAnsi="Arial Narrow" w:cs="Arial"/>
        </w:rPr>
        <w:t xml:space="preserve"> </w:t>
      </w:r>
    </w:p>
    <w:p w14:paraId="3E54A20C" w14:textId="5FB36C80" w:rsidR="008661B2" w:rsidRDefault="008661B2" w:rsidP="00AF379D">
      <w:pPr>
        <w:pStyle w:val="ListParagraph"/>
        <w:widowControl w:val="0"/>
        <w:autoSpaceDE w:val="0"/>
        <w:autoSpaceDN w:val="0"/>
        <w:spacing w:before="120" w:after="120" w:line="240" w:lineRule="auto"/>
        <w:contextualSpacing w:val="0"/>
        <w:jc w:val="both"/>
        <w:rPr>
          <w:rFonts w:ascii="Arial Narrow" w:hAnsi="Arial Narrow" w:cs="Arial"/>
          <w:b/>
        </w:rPr>
      </w:pPr>
      <w:r>
        <w:rPr>
          <w:rFonts w:ascii="Arial Narrow" w:hAnsi="Arial Narrow" w:cs="Arial"/>
          <w:b/>
        </w:rPr>
        <w:t>Guiding Good Choices (GGC)</w:t>
      </w:r>
    </w:p>
    <w:p w14:paraId="454A3875" w14:textId="77777777" w:rsidR="00AF379D" w:rsidRDefault="008661B2" w:rsidP="00AF379D">
      <w:pPr>
        <w:pStyle w:val="ListParagraph"/>
        <w:widowControl w:val="0"/>
        <w:autoSpaceDE w:val="0"/>
        <w:autoSpaceDN w:val="0"/>
        <w:spacing w:before="120" w:after="120" w:line="240" w:lineRule="auto"/>
        <w:contextualSpacing w:val="0"/>
        <w:jc w:val="both"/>
        <w:rPr>
          <w:rFonts w:ascii="Arial Narrow" w:hAnsi="Arial Narrow" w:cs="Arial"/>
        </w:rPr>
      </w:pPr>
      <w:r w:rsidRPr="0035139C">
        <w:rPr>
          <w:rFonts w:ascii="Arial Narrow" w:hAnsi="Arial Narrow" w:cs="Arial"/>
        </w:rPr>
        <w:t xml:space="preserve">GGC is a drug use prevention program that provides parents of children in grades 4 through 8 (9 to 14 years old) with the knowledge and skills needed to guide their children through early adolescence. It seeks to strengthen and clarify family </w:t>
      </w:r>
      <w:r>
        <w:rPr>
          <w:rFonts w:ascii="Arial Narrow" w:hAnsi="Arial Narrow" w:cs="Arial"/>
        </w:rPr>
        <w:t xml:space="preserve">expectations for behavior, enhance the conditions that promote bonding within the family, and teach skills that allow children to resist drug use successfully. </w:t>
      </w:r>
    </w:p>
    <w:p w14:paraId="1A7106DE" w14:textId="77777777" w:rsidR="00AF379D" w:rsidRDefault="008661B2" w:rsidP="00AF379D">
      <w:pPr>
        <w:pStyle w:val="ListParagraph"/>
        <w:widowControl w:val="0"/>
        <w:autoSpaceDE w:val="0"/>
        <w:autoSpaceDN w:val="0"/>
        <w:spacing w:before="120" w:after="120" w:line="240" w:lineRule="auto"/>
        <w:contextualSpacing w:val="0"/>
        <w:jc w:val="both"/>
        <w:rPr>
          <w:rFonts w:ascii="Arial Narrow" w:hAnsi="Arial Narrow" w:cs="Arial"/>
        </w:rPr>
      </w:pPr>
      <w:r>
        <w:rPr>
          <w:rFonts w:ascii="Arial Narrow" w:hAnsi="Arial Narrow" w:cs="Arial"/>
        </w:rPr>
        <w:t xml:space="preserve">The current intervention is a five-session curriculum that addresses preventing substance abuse in the family, setting clear family expectations regarding drugs and alcohol, avoiding trouble, managing family conflict, and strengthening family bonds. Sessions are interactive and skill-based, with opportunities for parents to practice new skills and receive feedback, and use video-based vignettes to demonstrate parenting skills. Families also receive a family guide containing family activities, discussion topics, skill-building exercises, and information on positive parenting. </w:t>
      </w:r>
    </w:p>
    <w:p w14:paraId="70A75D4E" w14:textId="6CB943F5" w:rsidR="008661B2" w:rsidRPr="0035139C" w:rsidRDefault="008661B2" w:rsidP="00AF379D">
      <w:pPr>
        <w:pStyle w:val="ListParagraph"/>
        <w:widowControl w:val="0"/>
        <w:autoSpaceDE w:val="0"/>
        <w:autoSpaceDN w:val="0"/>
        <w:spacing w:before="120" w:after="120" w:line="240" w:lineRule="auto"/>
        <w:contextualSpacing w:val="0"/>
        <w:jc w:val="both"/>
        <w:rPr>
          <w:rFonts w:ascii="Arial Narrow" w:hAnsi="Arial Narrow" w:cs="Arial"/>
        </w:rPr>
      </w:pPr>
      <w:r>
        <w:rPr>
          <w:rFonts w:ascii="Arial Narrow" w:hAnsi="Arial Narrow" w:cs="Arial"/>
        </w:rPr>
        <w:t xml:space="preserve">Additional information on GCC can be found at </w:t>
      </w:r>
      <w:hyperlink r:id="rId10" w:history="1">
        <w:r w:rsidRPr="008E493F">
          <w:rPr>
            <w:rStyle w:val="Hyperlink"/>
            <w:rFonts w:ascii="Arial Narrow" w:hAnsi="Arial Narrow" w:cs="Arial"/>
          </w:rPr>
          <w:t>https://www.channing-bete.com/prevention-programs/guiding-good-choices/guiding-good-choices.html</w:t>
        </w:r>
      </w:hyperlink>
      <w:r>
        <w:rPr>
          <w:rFonts w:ascii="Arial Narrow" w:hAnsi="Arial Narrow" w:cs="Arial"/>
        </w:rPr>
        <w:t xml:space="preserve"> </w:t>
      </w:r>
    </w:p>
    <w:p w14:paraId="68179F2D" w14:textId="5B762CAA" w:rsidR="008661B2" w:rsidRDefault="008661B2" w:rsidP="00AF379D">
      <w:pPr>
        <w:pStyle w:val="ListParagraph"/>
        <w:widowControl w:val="0"/>
        <w:autoSpaceDE w:val="0"/>
        <w:autoSpaceDN w:val="0"/>
        <w:spacing w:before="120" w:after="120" w:line="240" w:lineRule="auto"/>
        <w:contextualSpacing w:val="0"/>
        <w:jc w:val="both"/>
        <w:rPr>
          <w:rFonts w:ascii="Arial Narrow" w:hAnsi="Arial Narrow" w:cs="Arial"/>
          <w:b/>
        </w:rPr>
      </w:pPr>
      <w:r>
        <w:rPr>
          <w:rFonts w:ascii="Arial Narrow" w:hAnsi="Arial Narrow" w:cs="Arial"/>
          <w:b/>
        </w:rPr>
        <w:lastRenderedPageBreak/>
        <w:t>Too Good for Drugs</w:t>
      </w:r>
    </w:p>
    <w:p w14:paraId="534DB8A0" w14:textId="77777777" w:rsidR="00AF379D" w:rsidRDefault="008661B2" w:rsidP="00AF379D">
      <w:pPr>
        <w:pStyle w:val="ListParagraph"/>
        <w:widowControl w:val="0"/>
        <w:autoSpaceDE w:val="0"/>
        <w:autoSpaceDN w:val="0"/>
        <w:spacing w:before="120" w:after="120" w:line="240" w:lineRule="auto"/>
        <w:contextualSpacing w:val="0"/>
        <w:jc w:val="both"/>
        <w:rPr>
          <w:rFonts w:ascii="Arial Narrow" w:hAnsi="Arial Narrow" w:cs="Arial"/>
        </w:rPr>
      </w:pPr>
      <w:r w:rsidRPr="0035139C">
        <w:rPr>
          <w:rFonts w:ascii="Arial Narrow" w:hAnsi="Arial Narrow" w:cs="Arial"/>
        </w:rPr>
        <w:t xml:space="preserve">TGFD </w:t>
      </w:r>
      <w:r>
        <w:rPr>
          <w:rFonts w:ascii="Arial Narrow" w:hAnsi="Arial Narrow" w:cs="Arial"/>
        </w:rPr>
        <w:t>is a school-based prevention program for kindergarten through 12</w:t>
      </w:r>
      <w:r w:rsidRPr="0035139C">
        <w:rPr>
          <w:rFonts w:ascii="Arial Narrow" w:hAnsi="Arial Narrow" w:cs="Arial"/>
          <w:vertAlign w:val="superscript"/>
        </w:rPr>
        <w:t>th</w:t>
      </w:r>
      <w:r>
        <w:rPr>
          <w:rFonts w:ascii="Arial Narrow" w:hAnsi="Arial Narrow" w:cs="Arial"/>
        </w:rPr>
        <w:t xml:space="preserve"> grade that builds on students’ resiliency by teaching them how to be socially competent and autonomous problem solvers. The p</w:t>
      </w:r>
      <w:r w:rsidR="005C238F">
        <w:rPr>
          <w:rFonts w:ascii="Arial Narrow" w:hAnsi="Arial Narrow" w:cs="Arial"/>
        </w:rPr>
        <w:t xml:space="preserve">rogram is designed to benefit everyone in the school by providing needed education in social and emotional competencies and by reducing risk factors and building protective factors that affect students in these age groups. TGFD focuses on developing personal and interpersonal skills to resist peer pressures, goal setting, decision making, bonding with others, having respect for self and others, managing emotions, effective communication, and social interactions. </w:t>
      </w:r>
    </w:p>
    <w:p w14:paraId="216AFEFD" w14:textId="77777777" w:rsidR="00AF379D" w:rsidRDefault="005C238F" w:rsidP="00AF379D">
      <w:pPr>
        <w:pStyle w:val="ListParagraph"/>
        <w:widowControl w:val="0"/>
        <w:autoSpaceDE w:val="0"/>
        <w:autoSpaceDN w:val="0"/>
        <w:spacing w:before="120" w:after="120" w:line="240" w:lineRule="auto"/>
        <w:contextualSpacing w:val="0"/>
        <w:jc w:val="both"/>
        <w:rPr>
          <w:rFonts w:ascii="Arial Narrow" w:hAnsi="Arial Narrow" w:cs="Arial"/>
        </w:rPr>
      </w:pPr>
      <w:r>
        <w:rPr>
          <w:rFonts w:ascii="Arial Narrow" w:hAnsi="Arial Narrow" w:cs="Arial"/>
        </w:rPr>
        <w:t>TGFD has developmentally appropriate criteria for each grade level through 8</w:t>
      </w:r>
      <w:r w:rsidRPr="0035139C">
        <w:rPr>
          <w:rFonts w:ascii="Arial Narrow" w:hAnsi="Arial Narrow" w:cs="Arial"/>
          <w:vertAlign w:val="superscript"/>
        </w:rPr>
        <w:t>th</w:t>
      </w:r>
      <w:r>
        <w:rPr>
          <w:rFonts w:ascii="Arial Narrow" w:hAnsi="Arial Narrow" w:cs="Arial"/>
        </w:rPr>
        <w:t xml:space="preserve"> grade, with a separate high school curriculum for students in grades 9 through 12. The kindergarten through 8</w:t>
      </w:r>
      <w:r w:rsidRPr="0035139C">
        <w:rPr>
          <w:rFonts w:ascii="Arial Narrow" w:hAnsi="Arial Narrow" w:cs="Arial"/>
          <w:vertAlign w:val="superscript"/>
        </w:rPr>
        <w:t>th</w:t>
      </w:r>
      <w:r>
        <w:rPr>
          <w:rFonts w:ascii="Arial Narrow" w:hAnsi="Arial Narrow" w:cs="Arial"/>
        </w:rPr>
        <w:t xml:space="preserve"> grade curricula each include 10 weekly, 30-60 minute lessons. The high school curricula includes 14 weekly, 1-hour lessons plus 12 optional, 1-hour “infusion” lessons designed to incorporate and reinforce skills taught in the core curriculum through academic infusion in subject areas such as English, social studies, and science/health. Ideally, implementation begins with all school personnel participating in a 10-hour staff development program, which can be implemented either as a series of 1-hour sessions or as a 1- or 2-day workshop. </w:t>
      </w:r>
    </w:p>
    <w:p w14:paraId="5AF73594" w14:textId="77777777" w:rsidR="00AF379D" w:rsidRDefault="005C238F" w:rsidP="00AF379D">
      <w:pPr>
        <w:pStyle w:val="ListParagraph"/>
        <w:widowControl w:val="0"/>
        <w:autoSpaceDE w:val="0"/>
        <w:autoSpaceDN w:val="0"/>
        <w:spacing w:before="120" w:after="120" w:line="240" w:lineRule="auto"/>
        <w:contextualSpacing w:val="0"/>
        <w:jc w:val="both"/>
        <w:rPr>
          <w:rFonts w:ascii="Arial Narrow" w:hAnsi="Arial Narrow" w:cs="Arial"/>
        </w:rPr>
      </w:pPr>
      <w:r>
        <w:rPr>
          <w:rFonts w:ascii="Arial Narrow" w:hAnsi="Arial Narrow" w:cs="Arial"/>
        </w:rPr>
        <w:t xml:space="preserve">TGFD is a companion program to Too Good for Violence (TGFV). At the high school level, the programs are combined in one volume under the name Too Good for Drugs &amp; Violence High School. </w:t>
      </w:r>
    </w:p>
    <w:p w14:paraId="1232EACD" w14:textId="5EA0D423" w:rsidR="008661B2" w:rsidRPr="0035139C" w:rsidRDefault="005C238F" w:rsidP="00AF379D">
      <w:pPr>
        <w:pStyle w:val="ListParagraph"/>
        <w:widowControl w:val="0"/>
        <w:autoSpaceDE w:val="0"/>
        <w:autoSpaceDN w:val="0"/>
        <w:spacing w:before="120" w:after="120" w:line="240" w:lineRule="auto"/>
        <w:contextualSpacing w:val="0"/>
        <w:jc w:val="both"/>
        <w:rPr>
          <w:rFonts w:ascii="Arial Narrow" w:hAnsi="Arial Narrow" w:cs="Arial"/>
        </w:rPr>
      </w:pPr>
      <w:r>
        <w:rPr>
          <w:rFonts w:ascii="Arial Narrow" w:hAnsi="Arial Narrow" w:cs="Arial"/>
        </w:rPr>
        <w:t xml:space="preserve">Additional information on TGFD can be found at </w:t>
      </w:r>
      <w:hyperlink r:id="rId11" w:history="1">
        <w:r w:rsidRPr="008E493F">
          <w:rPr>
            <w:rStyle w:val="Hyperlink"/>
            <w:rFonts w:ascii="Arial Narrow" w:hAnsi="Arial Narrow" w:cs="Arial"/>
          </w:rPr>
          <w:t>https://toogoodprograms.org/collections/too-good-for-drugs</w:t>
        </w:r>
      </w:hyperlink>
      <w:r>
        <w:rPr>
          <w:rFonts w:ascii="Arial Narrow" w:hAnsi="Arial Narrow" w:cs="Arial"/>
        </w:rPr>
        <w:t xml:space="preserve"> </w:t>
      </w:r>
    </w:p>
    <w:p w14:paraId="584C1F7A" w14:textId="77777777" w:rsidR="005C238F" w:rsidRDefault="005C238F" w:rsidP="00AF379D">
      <w:pPr>
        <w:widowControl w:val="0"/>
        <w:autoSpaceDE w:val="0"/>
        <w:autoSpaceDN w:val="0"/>
        <w:spacing w:before="120" w:after="120" w:line="240" w:lineRule="auto"/>
        <w:ind w:left="720"/>
        <w:jc w:val="both"/>
        <w:rPr>
          <w:rFonts w:ascii="Arial Narrow" w:hAnsi="Arial Narrow" w:cs="Arial"/>
        </w:rPr>
      </w:pPr>
    </w:p>
    <w:p w14:paraId="7B606D06" w14:textId="77777777" w:rsidR="005C238F" w:rsidRDefault="005C238F" w:rsidP="00BB5027">
      <w:pPr>
        <w:widowControl w:val="0"/>
        <w:autoSpaceDE w:val="0"/>
        <w:autoSpaceDN w:val="0"/>
        <w:spacing w:before="120" w:after="120" w:line="240" w:lineRule="auto"/>
        <w:ind w:left="720"/>
        <w:jc w:val="both"/>
        <w:rPr>
          <w:rFonts w:ascii="Arial Narrow" w:hAnsi="Arial Narrow" w:cs="Arial"/>
        </w:rPr>
      </w:pPr>
    </w:p>
    <w:p w14:paraId="7AFDB23A" w14:textId="77777777" w:rsidR="00BB5027" w:rsidRPr="00910687" w:rsidRDefault="00BB5027" w:rsidP="00D93EEE">
      <w:pPr>
        <w:widowControl w:val="0"/>
        <w:autoSpaceDE w:val="0"/>
        <w:autoSpaceDN w:val="0"/>
        <w:spacing w:before="120" w:after="120" w:line="240" w:lineRule="auto"/>
        <w:ind w:left="720"/>
        <w:jc w:val="both"/>
        <w:rPr>
          <w:rFonts w:ascii="Arial Narrow" w:hAnsi="Arial Narrow" w:cs="Arial"/>
        </w:rPr>
      </w:pPr>
    </w:p>
    <w:sectPr w:rsidR="00BB5027" w:rsidRPr="00910687" w:rsidSect="00147456">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779FB" w14:textId="77777777" w:rsidR="00B133AF" w:rsidRDefault="00B133AF" w:rsidP="0059519D">
      <w:pPr>
        <w:spacing w:after="0" w:line="240" w:lineRule="auto"/>
      </w:pPr>
      <w:r>
        <w:separator/>
      </w:r>
    </w:p>
  </w:endnote>
  <w:endnote w:type="continuationSeparator" w:id="0">
    <w:p w14:paraId="1448594D" w14:textId="77777777" w:rsidR="00B133AF" w:rsidRDefault="00B133AF"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A2F4" w14:textId="1862D00F" w:rsidR="006A41F4" w:rsidRPr="00295701" w:rsidRDefault="00D97EDF" w:rsidP="00B67C80">
    <w:pPr>
      <w:tabs>
        <w:tab w:val="center" w:pos="4320"/>
        <w:tab w:val="right" w:pos="8640"/>
      </w:tabs>
      <w:spacing w:after="0" w:line="240" w:lineRule="auto"/>
      <w:jc w:val="center"/>
      <w:rPr>
        <w:rFonts w:ascii="Arial Narrow" w:eastAsia="Times New Roman" w:hAnsi="Arial Narrow" w:cs="Times New Roman"/>
      </w:rPr>
    </w:pP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147456">
      <w:rPr>
        <w:rFonts w:ascii="Arial Narrow" w:eastAsia="Times New Roman" w:hAnsi="Arial Narrow" w:cs="Times New Roman"/>
        <w:noProof/>
      </w:rPr>
      <w:t>3</w:t>
    </w:r>
    <w:r w:rsidRPr="00295701">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07634" w14:textId="2CE6D28B" w:rsidR="00147456" w:rsidRPr="009210AE" w:rsidRDefault="00147456" w:rsidP="00147456">
    <w:pPr>
      <w:tabs>
        <w:tab w:val="center" w:pos="4320"/>
        <w:tab w:val="right" w:pos="8640"/>
      </w:tabs>
      <w:spacing w:after="0" w:line="240" w:lineRule="auto"/>
      <w:jc w:val="center"/>
      <w:rPr>
        <w:rFonts w:ascii="Arial Narrow" w:eastAsia="Times New Roman" w:hAnsi="Arial Narrow" w:cs="Times New Roman"/>
      </w:rPr>
    </w:pPr>
    <w:r w:rsidRPr="009210AE">
      <w:rPr>
        <w:rFonts w:ascii="Arial Narrow" w:eastAsia="Times New Roman" w:hAnsi="Arial Narrow" w:cs="Times New Roman"/>
      </w:rPr>
      <w:fldChar w:fldCharType="begin"/>
    </w:r>
    <w:r w:rsidRPr="009210AE">
      <w:rPr>
        <w:rFonts w:ascii="Arial Narrow" w:eastAsia="Times New Roman" w:hAnsi="Arial Narrow" w:cs="Times New Roman"/>
      </w:rPr>
      <w:instrText xml:space="preserve"> PAGE   \* MERGEFORMAT </w:instrText>
    </w:r>
    <w:r w:rsidRPr="009210AE">
      <w:rPr>
        <w:rFonts w:ascii="Arial Narrow" w:eastAsia="Times New Roman" w:hAnsi="Arial Narrow" w:cs="Times New Roman"/>
      </w:rPr>
      <w:fldChar w:fldCharType="separate"/>
    </w:r>
    <w:r>
      <w:rPr>
        <w:rFonts w:ascii="Arial Narrow" w:eastAsia="Times New Roman" w:hAnsi="Arial Narrow" w:cs="Times New Roman"/>
        <w:noProof/>
      </w:rPr>
      <w:t>1</w:t>
    </w:r>
    <w:r w:rsidRPr="009210AE">
      <w:rPr>
        <w:rFonts w:ascii="Arial Narrow" w:eastAsia="Times New Roman" w:hAnsi="Arial Narrow" w:cs="Times New Roman"/>
      </w:rPr>
      <w:fldChar w:fldCharType="end"/>
    </w:r>
  </w:p>
  <w:p w14:paraId="1D5C7252" w14:textId="76F3E3A5" w:rsidR="00B67C80" w:rsidRPr="00B67C80" w:rsidRDefault="00147456" w:rsidP="00147456">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Pr="009210AE">
      <w:rPr>
        <w:rFonts w:ascii="Arial Narrow" w:eastAsia="Times New Roman" w:hAnsi="Arial Narrow" w:cs="Times New Roman"/>
      </w:rPr>
      <w:t xml:space="preserve">: July 1, </w:t>
    </w:r>
    <w:r>
      <w:rPr>
        <w:rFonts w:ascii="Arial Narrow" w:eastAsia="Times New Roman" w:hAnsi="Arial Narrow" w:cs="Times New Roman"/>
      </w:rPr>
      <w:t>201</w:t>
    </w:r>
    <w:r>
      <w:rPr>
        <w:rFonts w:ascii="Arial Narrow" w:eastAsia="Times New Roman" w:hAnsi="Arial Narrow" w:cs="Times New Roman"/>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8732" w14:textId="77777777" w:rsidR="00B133AF" w:rsidRDefault="00B133AF" w:rsidP="0059519D">
      <w:pPr>
        <w:spacing w:after="0" w:line="240" w:lineRule="auto"/>
      </w:pPr>
      <w:r>
        <w:separator/>
      </w:r>
    </w:p>
  </w:footnote>
  <w:footnote w:type="continuationSeparator" w:id="0">
    <w:p w14:paraId="7D93FD76" w14:textId="77777777" w:rsidR="00B133AF" w:rsidRDefault="00B133AF"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0E39" w14:textId="77777777" w:rsidR="00B67C80" w:rsidRPr="00295701" w:rsidRDefault="00B67C80" w:rsidP="00B67C80">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295701">
      <w:rPr>
        <w:rFonts w:ascii="Arial Narrow" w:eastAsia="Times New Roman" w:hAnsi="Arial Narrow" w:cs="Times New Roman"/>
        <w:b/>
        <w:bCs/>
        <w:noProof/>
      </w:rPr>
      <w:drawing>
        <wp:anchor distT="0" distB="0" distL="114300" distR="114300" simplePos="0" relativeHeight="251657216" behindDoc="1" locked="0" layoutInCell="1" allowOverlap="1" wp14:anchorId="758FA7F2" wp14:editId="232AF616">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701">
      <w:rPr>
        <w:rFonts w:ascii="Arial Narrow" w:eastAsia="Times New Roman" w:hAnsi="Arial Narrow" w:cs="Arial"/>
        <w:sz w:val="24"/>
        <w:szCs w:val="24"/>
      </w:rPr>
      <w:t xml:space="preserve">Program Guidance for Managing Entity Contracts </w:t>
    </w:r>
    <w:r w:rsidRPr="00295701">
      <w:rPr>
        <w:rFonts w:ascii="Arial Narrow" w:eastAsia="Times New Roman" w:hAnsi="Arial Narrow" w:cs="Arial"/>
        <w:sz w:val="24"/>
        <w:szCs w:val="24"/>
      </w:rPr>
      <w:br/>
    </w:r>
  </w:p>
  <w:p w14:paraId="738E6650" w14:textId="77777777" w:rsidR="00DA6DBA" w:rsidRPr="00B67C80" w:rsidRDefault="00DA6DBA" w:rsidP="00B6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E1"/>
    <w:multiLevelType w:val="multilevel"/>
    <w:tmpl w:val="24880262"/>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 w15:restartNumberingAfterBreak="0">
    <w:nsid w:val="03712F48"/>
    <w:multiLevelType w:val="hybridMultilevel"/>
    <w:tmpl w:val="295642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629A2"/>
    <w:multiLevelType w:val="multilevel"/>
    <w:tmpl w:val="90F2008A"/>
    <w:lvl w:ilvl="0">
      <w:start w:val="1"/>
      <w:numFmt w:val="decimal"/>
      <w:lvlText w:val="%1."/>
      <w:lvlJc w:val="left"/>
      <w:pPr>
        <w:ind w:left="72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0990062E"/>
    <w:multiLevelType w:val="multilevel"/>
    <w:tmpl w:val="8020BC86"/>
    <w:lvl w:ilvl="0">
      <w:start w:val="1"/>
      <w:numFmt w:val="lowerLetter"/>
      <w:lvlText w:val="%1."/>
      <w:lvlJc w:val="left"/>
      <w:pPr>
        <w:ind w:left="1080" w:hanging="360"/>
      </w:pPr>
      <w:rPr>
        <w:rFonts w:hint="default"/>
        <w:b/>
      </w:rPr>
    </w:lvl>
    <w:lvl w:ilvl="1">
      <w:start w:val="1"/>
      <w:numFmt w:val="lowerLetter"/>
      <w:lvlText w:val="%2)"/>
      <w:lvlJc w:val="left"/>
      <w:pPr>
        <w:ind w:left="1440" w:hanging="360"/>
      </w:pPr>
      <w:rPr>
        <w:b/>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b/>
      </w:rPr>
    </w:lvl>
  </w:abstractNum>
  <w:abstractNum w:abstractNumId="5" w15:restartNumberingAfterBreak="0">
    <w:nsid w:val="0DCF721D"/>
    <w:multiLevelType w:val="multilevel"/>
    <w:tmpl w:val="79529A56"/>
    <w:lvl w:ilvl="0">
      <w:start w:val="1"/>
      <w:numFmt w:val="lowerLetter"/>
      <w:lvlText w:val="%1."/>
      <w:lvlJc w:val="left"/>
      <w:pPr>
        <w:ind w:left="1080" w:hanging="360"/>
      </w:pPr>
      <w:rPr>
        <w:rFonts w:hint="default"/>
        <w:b/>
      </w:rPr>
    </w:lvl>
    <w:lvl w:ilvl="1">
      <w:start w:val="1"/>
      <w:numFmt w:val="lowerLetter"/>
      <w:lvlText w:val="%2)"/>
      <w:lvlJc w:val="left"/>
      <w:pPr>
        <w:ind w:left="1440" w:hanging="360"/>
      </w:pPr>
      <w:rPr>
        <w:b/>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b/>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b/>
      </w:rPr>
    </w:lvl>
  </w:abstractNum>
  <w:abstractNum w:abstractNumId="6" w15:restartNumberingAfterBreak="0">
    <w:nsid w:val="14681CE1"/>
    <w:multiLevelType w:val="hybridMultilevel"/>
    <w:tmpl w:val="7C402F02"/>
    <w:lvl w:ilvl="0" w:tplc="C9F418A8">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260C1A"/>
    <w:multiLevelType w:val="multilevel"/>
    <w:tmpl w:val="90F2008A"/>
    <w:lvl w:ilvl="0">
      <w:start w:val="1"/>
      <w:numFmt w:val="decimal"/>
      <w:lvlText w:val="%1."/>
      <w:lvlJc w:val="left"/>
      <w:pPr>
        <w:ind w:left="72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8"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190E6B6C"/>
    <w:multiLevelType w:val="hybridMultilevel"/>
    <w:tmpl w:val="A5B0B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54A72"/>
    <w:multiLevelType w:val="multilevel"/>
    <w:tmpl w:val="358A5360"/>
    <w:lvl w:ilvl="0">
      <w:start w:val="1"/>
      <w:numFmt w:val="upperLetter"/>
      <w:lvlText w:val="%1."/>
      <w:lvlJc w:val="left"/>
      <w:pPr>
        <w:tabs>
          <w:tab w:val="num" w:pos="99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color w:val="00000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1"/>
      <w:numFmt w:val="lowerLetter"/>
      <w:lvlText w:val="%4."/>
      <w:lvlJc w:val="left"/>
      <w:pPr>
        <w:ind w:left="126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BC51B24"/>
    <w:multiLevelType w:val="multilevel"/>
    <w:tmpl w:val="0E78768A"/>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18C3357"/>
    <w:multiLevelType w:val="hybridMultilevel"/>
    <w:tmpl w:val="BE36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075444"/>
    <w:multiLevelType w:val="multilevel"/>
    <w:tmpl w:val="79529A56"/>
    <w:lvl w:ilvl="0">
      <w:start w:val="1"/>
      <w:numFmt w:val="lowerLetter"/>
      <w:lvlText w:val="%1."/>
      <w:lvlJc w:val="left"/>
      <w:pPr>
        <w:ind w:left="1080" w:hanging="360"/>
      </w:pPr>
      <w:rPr>
        <w:rFonts w:hint="default"/>
        <w:b/>
      </w:rPr>
    </w:lvl>
    <w:lvl w:ilvl="1">
      <w:start w:val="1"/>
      <w:numFmt w:val="lowerLetter"/>
      <w:lvlText w:val="%2)"/>
      <w:lvlJc w:val="left"/>
      <w:pPr>
        <w:ind w:left="1440" w:hanging="360"/>
      </w:pPr>
      <w:rPr>
        <w:b/>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b/>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b/>
      </w:rPr>
    </w:lvl>
  </w:abstractNum>
  <w:abstractNum w:abstractNumId="14" w15:restartNumberingAfterBreak="0">
    <w:nsid w:val="281906BE"/>
    <w:multiLevelType w:val="multilevel"/>
    <w:tmpl w:val="9A3C7550"/>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8DB1B1E"/>
    <w:multiLevelType w:val="hybridMultilevel"/>
    <w:tmpl w:val="095A1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4A635A"/>
    <w:multiLevelType w:val="multilevel"/>
    <w:tmpl w:val="24880262"/>
    <w:lvl w:ilvl="0">
      <w:start w:val="1"/>
      <w:numFmt w:val="decimal"/>
      <w:lvlText w:val="%1."/>
      <w:lvlJc w:val="left"/>
      <w:pPr>
        <w:ind w:left="1080" w:hanging="360"/>
      </w:pPr>
      <w:rPr>
        <w:rFonts w:hint="default"/>
        <w:b/>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760" w:hanging="72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280" w:hanging="108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17"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E9273D"/>
    <w:multiLevelType w:val="multilevel"/>
    <w:tmpl w:val="90F2008A"/>
    <w:lvl w:ilvl="0">
      <w:start w:val="1"/>
      <w:numFmt w:val="decimal"/>
      <w:lvlText w:val="%1."/>
      <w:lvlJc w:val="left"/>
      <w:pPr>
        <w:ind w:left="72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9" w15:restartNumberingAfterBreak="0">
    <w:nsid w:val="3017195C"/>
    <w:multiLevelType w:val="multilevel"/>
    <w:tmpl w:val="B1D01E80"/>
    <w:lvl w:ilvl="0">
      <w:start w:val="1"/>
      <w:numFmt w:val="lowerLetter"/>
      <w:lvlText w:val="%1."/>
      <w:lvlJc w:val="left"/>
      <w:pPr>
        <w:ind w:left="1080" w:hanging="360"/>
      </w:pPr>
      <w:rPr>
        <w:rFonts w:hint="default"/>
        <w:b/>
      </w:rPr>
    </w:lvl>
    <w:lvl w:ilvl="1">
      <w:start w:val="1"/>
      <w:numFmt w:val="lowerLetter"/>
      <w:lvlText w:val="%2)"/>
      <w:lvlJc w:val="left"/>
      <w:pPr>
        <w:ind w:left="1440" w:hanging="360"/>
      </w:pPr>
      <w:rPr>
        <w:b/>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0FC7758"/>
    <w:multiLevelType w:val="hybridMultilevel"/>
    <w:tmpl w:val="7C402F02"/>
    <w:lvl w:ilvl="0" w:tplc="C9F418A8">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C2119A"/>
    <w:multiLevelType w:val="multilevel"/>
    <w:tmpl w:val="E46E15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31B4E90"/>
    <w:multiLevelType w:val="hybridMultilevel"/>
    <w:tmpl w:val="7C22B8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766378"/>
    <w:multiLevelType w:val="multilevel"/>
    <w:tmpl w:val="8020BC86"/>
    <w:lvl w:ilvl="0">
      <w:start w:val="1"/>
      <w:numFmt w:val="lowerLetter"/>
      <w:lvlText w:val="%1."/>
      <w:lvlJc w:val="left"/>
      <w:pPr>
        <w:ind w:left="1080" w:hanging="360"/>
      </w:pPr>
      <w:rPr>
        <w:rFonts w:hint="default"/>
        <w:b/>
      </w:rPr>
    </w:lvl>
    <w:lvl w:ilvl="1">
      <w:start w:val="1"/>
      <w:numFmt w:val="lowerLetter"/>
      <w:lvlText w:val="%2)"/>
      <w:lvlJc w:val="left"/>
      <w:pPr>
        <w:ind w:left="1440" w:hanging="360"/>
      </w:pPr>
      <w:rPr>
        <w:b/>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b/>
      </w:rPr>
    </w:lvl>
  </w:abstractNum>
  <w:abstractNum w:abstractNumId="24"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B3899"/>
    <w:multiLevelType w:val="hybridMultilevel"/>
    <w:tmpl w:val="A95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97B6B"/>
    <w:multiLevelType w:val="hybridMultilevel"/>
    <w:tmpl w:val="3900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DB6565"/>
    <w:multiLevelType w:val="multilevel"/>
    <w:tmpl w:val="5E5A3F3A"/>
    <w:lvl w:ilvl="0">
      <w:start w:val="1"/>
      <w:numFmt w:val="decimal"/>
      <w:lvlText w:val="%1."/>
      <w:lvlJc w:val="left"/>
      <w:pPr>
        <w:ind w:left="1080" w:hanging="360"/>
      </w:pPr>
      <w:rPr>
        <w:rFonts w:hint="default"/>
        <w:b/>
      </w:rPr>
    </w:lvl>
    <w:lvl w:ilvl="1">
      <w:start w:val="1"/>
      <w:numFmt w:val="decimal"/>
      <w:isLgl/>
      <w:lvlText w:val="%2."/>
      <w:lvlJc w:val="left"/>
      <w:pPr>
        <w:ind w:left="2160" w:hanging="360"/>
      </w:pPr>
      <w:rPr>
        <w:rFonts w:ascii="Arial Narrow" w:eastAsiaTheme="minorEastAsia" w:hAnsi="Arial Narrow" w:cs="Times New Roman"/>
        <w:b/>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760" w:hanging="72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280" w:hanging="108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28" w15:restartNumberingAfterBreak="0">
    <w:nsid w:val="3FF96D59"/>
    <w:multiLevelType w:val="hybridMultilevel"/>
    <w:tmpl w:val="6556E8FE"/>
    <w:lvl w:ilvl="0" w:tplc="D688AE7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555FBD"/>
    <w:multiLevelType w:val="multilevel"/>
    <w:tmpl w:val="8020BC86"/>
    <w:lvl w:ilvl="0">
      <w:start w:val="1"/>
      <w:numFmt w:val="lowerLetter"/>
      <w:lvlText w:val="%1."/>
      <w:lvlJc w:val="left"/>
      <w:pPr>
        <w:ind w:left="1080" w:hanging="360"/>
      </w:pPr>
      <w:rPr>
        <w:rFonts w:hint="default"/>
        <w:b/>
      </w:rPr>
    </w:lvl>
    <w:lvl w:ilvl="1">
      <w:start w:val="1"/>
      <w:numFmt w:val="lowerLetter"/>
      <w:lvlText w:val="%2)"/>
      <w:lvlJc w:val="left"/>
      <w:pPr>
        <w:ind w:left="1440" w:hanging="360"/>
      </w:pPr>
      <w:rPr>
        <w:b/>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b/>
      </w:rPr>
    </w:lvl>
  </w:abstractNum>
  <w:abstractNum w:abstractNumId="30" w15:restartNumberingAfterBreak="0">
    <w:nsid w:val="48A8189B"/>
    <w:multiLevelType w:val="hybridMultilevel"/>
    <w:tmpl w:val="4FA0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D51B5"/>
    <w:multiLevelType w:val="multilevel"/>
    <w:tmpl w:val="51C6A980"/>
    <w:lvl w:ilvl="0">
      <w:start w:val="1"/>
      <w:numFmt w:val="lowerRoman"/>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0D049F5"/>
    <w:multiLevelType w:val="multilevel"/>
    <w:tmpl w:val="8020BC86"/>
    <w:lvl w:ilvl="0">
      <w:start w:val="1"/>
      <w:numFmt w:val="lowerLetter"/>
      <w:lvlText w:val="%1."/>
      <w:lvlJc w:val="left"/>
      <w:pPr>
        <w:ind w:left="1080" w:hanging="360"/>
      </w:pPr>
      <w:rPr>
        <w:rFonts w:hint="default"/>
        <w:b/>
      </w:rPr>
    </w:lvl>
    <w:lvl w:ilvl="1">
      <w:start w:val="1"/>
      <w:numFmt w:val="lowerLetter"/>
      <w:lvlText w:val="%2)"/>
      <w:lvlJc w:val="left"/>
      <w:pPr>
        <w:ind w:left="1440" w:hanging="360"/>
      </w:pPr>
      <w:rPr>
        <w:b/>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b/>
      </w:rPr>
    </w:lvl>
  </w:abstractNum>
  <w:abstractNum w:abstractNumId="34" w15:restartNumberingAfterBreak="0">
    <w:nsid w:val="610E1941"/>
    <w:multiLevelType w:val="hybridMultilevel"/>
    <w:tmpl w:val="28F6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C103F"/>
    <w:multiLevelType w:val="hybridMultilevel"/>
    <w:tmpl w:val="4FAE2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4821DA4"/>
    <w:multiLevelType w:val="hybridMultilevel"/>
    <w:tmpl w:val="6556E8FE"/>
    <w:lvl w:ilvl="0" w:tplc="D688AE7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9F2465"/>
    <w:multiLevelType w:val="multilevel"/>
    <w:tmpl w:val="24880262"/>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8" w15:restartNumberingAfterBreak="0">
    <w:nsid w:val="70165914"/>
    <w:multiLevelType w:val="hybridMultilevel"/>
    <w:tmpl w:val="57302D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71663"/>
    <w:multiLevelType w:val="hybridMultilevel"/>
    <w:tmpl w:val="31D2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EBA"/>
    <w:multiLevelType w:val="hybridMultilevel"/>
    <w:tmpl w:val="B566A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251060"/>
    <w:multiLevelType w:val="multilevel"/>
    <w:tmpl w:val="8020BC86"/>
    <w:lvl w:ilvl="0">
      <w:start w:val="1"/>
      <w:numFmt w:val="lowerLetter"/>
      <w:lvlText w:val="%1."/>
      <w:lvlJc w:val="left"/>
      <w:pPr>
        <w:ind w:left="1080" w:hanging="360"/>
      </w:pPr>
      <w:rPr>
        <w:rFonts w:hint="default"/>
        <w:b/>
      </w:rPr>
    </w:lvl>
    <w:lvl w:ilvl="1">
      <w:start w:val="1"/>
      <w:numFmt w:val="lowerLetter"/>
      <w:lvlText w:val="%2)"/>
      <w:lvlJc w:val="left"/>
      <w:pPr>
        <w:ind w:left="1440" w:hanging="360"/>
      </w:pPr>
      <w:rPr>
        <w:b/>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b/>
      </w:rPr>
    </w:lvl>
  </w:abstractNum>
  <w:abstractNum w:abstractNumId="43"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3"/>
  </w:num>
  <w:num w:numId="4">
    <w:abstractNumId w:val="17"/>
  </w:num>
  <w:num w:numId="5">
    <w:abstractNumId w:val="31"/>
  </w:num>
  <w:num w:numId="6">
    <w:abstractNumId w:val="24"/>
  </w:num>
  <w:num w:numId="7">
    <w:abstractNumId w:val="39"/>
  </w:num>
  <w:num w:numId="8">
    <w:abstractNumId w:val="35"/>
  </w:num>
  <w:num w:numId="9">
    <w:abstractNumId w:val="40"/>
  </w:num>
  <w:num w:numId="10">
    <w:abstractNumId w:val="11"/>
  </w:num>
  <w:num w:numId="11">
    <w:abstractNumId w:val="14"/>
  </w:num>
  <w:num w:numId="12">
    <w:abstractNumId w:val="10"/>
  </w:num>
  <w:num w:numId="13">
    <w:abstractNumId w:val="32"/>
  </w:num>
  <w:num w:numId="14">
    <w:abstractNumId w:val="2"/>
  </w:num>
  <w:num w:numId="15">
    <w:abstractNumId w:val="37"/>
  </w:num>
  <w:num w:numId="16">
    <w:abstractNumId w:val="6"/>
  </w:num>
  <w:num w:numId="17">
    <w:abstractNumId w:val="20"/>
  </w:num>
  <w:num w:numId="18">
    <w:abstractNumId w:val="0"/>
  </w:num>
  <w:num w:numId="19">
    <w:abstractNumId w:val="16"/>
  </w:num>
  <w:num w:numId="20">
    <w:abstractNumId w:val="16"/>
    <w:lvlOverride w:ilvl="0">
      <w:lvl w:ilvl="0">
        <w:start w:val="1"/>
        <w:numFmt w:val="decimal"/>
        <w:lvlText w:val="%1."/>
        <w:lvlJc w:val="left"/>
        <w:pPr>
          <w:ind w:left="1080" w:hanging="360"/>
        </w:pPr>
        <w:rPr>
          <w:rFonts w:hint="default"/>
          <w:b/>
        </w:rPr>
      </w:lvl>
    </w:lvlOverride>
    <w:lvlOverride w:ilvl="1">
      <w:lvl w:ilvl="1">
        <w:start w:val="1"/>
        <w:numFmt w:val="decimal"/>
        <w:isLgl/>
        <w:lvlText w:val="%1.%2"/>
        <w:lvlJc w:val="left"/>
        <w:pPr>
          <w:ind w:left="2160" w:hanging="360"/>
        </w:pPr>
        <w:rPr>
          <w:rFonts w:hint="default"/>
          <w:b/>
          <w:i w:val="0"/>
        </w:rPr>
      </w:lvl>
    </w:lvlOverride>
    <w:lvlOverride w:ilvl="2">
      <w:lvl w:ilvl="2">
        <w:start w:val="1"/>
        <w:numFmt w:val="decimal"/>
        <w:isLgl/>
        <w:lvlText w:val="%1.%2.%3"/>
        <w:lvlJc w:val="left"/>
        <w:pPr>
          <w:ind w:left="3600" w:hanging="720"/>
        </w:pPr>
        <w:rPr>
          <w:rFonts w:hint="default"/>
        </w:rPr>
      </w:lvl>
    </w:lvlOverride>
    <w:lvlOverride w:ilvl="3">
      <w:lvl w:ilvl="3">
        <w:start w:val="1"/>
        <w:numFmt w:val="decimal"/>
        <w:isLgl/>
        <w:lvlText w:val="%1.%2.%3.%4"/>
        <w:lvlJc w:val="left"/>
        <w:pPr>
          <w:ind w:left="4680" w:hanging="720"/>
        </w:pPr>
        <w:rPr>
          <w:rFonts w:hint="default"/>
        </w:rPr>
      </w:lvl>
    </w:lvlOverride>
    <w:lvlOverride w:ilvl="4">
      <w:lvl w:ilvl="4">
        <w:start w:val="1"/>
        <w:numFmt w:val="decimal"/>
        <w:isLgl/>
        <w:lvlText w:val="%1.%2.%3.%4.%5"/>
        <w:lvlJc w:val="left"/>
        <w:pPr>
          <w:ind w:left="5760" w:hanging="720"/>
        </w:pPr>
        <w:rPr>
          <w:rFonts w:hint="default"/>
        </w:rPr>
      </w:lvl>
    </w:lvlOverride>
    <w:lvlOverride w:ilvl="5">
      <w:lvl w:ilvl="5">
        <w:start w:val="1"/>
        <w:numFmt w:val="decimal"/>
        <w:isLgl/>
        <w:lvlText w:val="%1.%2.%3.%4.%5.%6"/>
        <w:lvlJc w:val="left"/>
        <w:pPr>
          <w:ind w:left="7200" w:hanging="1080"/>
        </w:pPr>
        <w:rPr>
          <w:rFonts w:hint="default"/>
        </w:rPr>
      </w:lvl>
    </w:lvlOverride>
    <w:lvlOverride w:ilvl="6">
      <w:lvl w:ilvl="6">
        <w:start w:val="1"/>
        <w:numFmt w:val="decimal"/>
        <w:isLgl/>
        <w:lvlText w:val="%1.%2.%3.%4.%5.%6.%7"/>
        <w:lvlJc w:val="left"/>
        <w:pPr>
          <w:ind w:left="8280" w:hanging="1080"/>
        </w:pPr>
        <w:rPr>
          <w:rFonts w:hint="default"/>
        </w:rPr>
      </w:lvl>
    </w:lvlOverride>
    <w:lvlOverride w:ilvl="7">
      <w:lvl w:ilvl="7">
        <w:start w:val="1"/>
        <w:numFmt w:val="decimal"/>
        <w:isLgl/>
        <w:lvlText w:val="%1.%2.%3.%4.%5.%6.%7.%8"/>
        <w:lvlJc w:val="left"/>
        <w:pPr>
          <w:ind w:left="9720" w:hanging="1440"/>
        </w:pPr>
        <w:rPr>
          <w:rFonts w:hint="default"/>
        </w:rPr>
      </w:lvl>
    </w:lvlOverride>
    <w:lvlOverride w:ilvl="8">
      <w:lvl w:ilvl="8">
        <w:start w:val="1"/>
        <w:numFmt w:val="decimal"/>
        <w:isLgl/>
        <w:lvlText w:val="%1.%2.%3.%4.%5.%6.%7.%8.%9"/>
        <w:lvlJc w:val="left"/>
        <w:pPr>
          <w:ind w:left="10800" w:hanging="1440"/>
        </w:pPr>
        <w:rPr>
          <w:rFonts w:hint="default"/>
        </w:rPr>
      </w:lvl>
    </w:lvlOverride>
  </w:num>
  <w:num w:numId="21">
    <w:abstractNumId w:val="27"/>
  </w:num>
  <w:num w:numId="22">
    <w:abstractNumId w:val="36"/>
  </w:num>
  <w:num w:numId="23">
    <w:abstractNumId w:val="19"/>
  </w:num>
  <w:num w:numId="24">
    <w:abstractNumId w:val="41"/>
  </w:num>
  <w:num w:numId="25">
    <w:abstractNumId w:val="42"/>
  </w:num>
  <w:num w:numId="26">
    <w:abstractNumId w:val="4"/>
  </w:num>
  <w:num w:numId="27">
    <w:abstractNumId w:val="29"/>
  </w:num>
  <w:num w:numId="28">
    <w:abstractNumId w:val="33"/>
  </w:num>
  <w:num w:numId="29">
    <w:abstractNumId w:val="26"/>
  </w:num>
  <w:num w:numId="30">
    <w:abstractNumId w:val="34"/>
  </w:num>
  <w:num w:numId="31">
    <w:abstractNumId w:val="13"/>
  </w:num>
  <w:num w:numId="32">
    <w:abstractNumId w:val="5"/>
  </w:num>
  <w:num w:numId="33">
    <w:abstractNumId w:val="23"/>
  </w:num>
  <w:num w:numId="34">
    <w:abstractNumId w:val="25"/>
  </w:num>
  <w:num w:numId="35">
    <w:abstractNumId w:val="12"/>
  </w:num>
  <w:num w:numId="36">
    <w:abstractNumId w:val="21"/>
  </w:num>
  <w:num w:numId="37">
    <w:abstractNumId w:val="30"/>
  </w:num>
  <w:num w:numId="38">
    <w:abstractNumId w:val="28"/>
  </w:num>
  <w:num w:numId="39">
    <w:abstractNumId w:val="22"/>
  </w:num>
  <w:num w:numId="40">
    <w:abstractNumId w:val="15"/>
  </w:num>
  <w:num w:numId="41">
    <w:abstractNumId w:val="9"/>
  </w:num>
  <w:num w:numId="42">
    <w:abstractNumId w:val="1"/>
  </w:num>
  <w:num w:numId="43">
    <w:abstractNumId w:val="38"/>
  </w:num>
  <w:num w:numId="44">
    <w:abstractNumId w:val="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D"/>
    <w:rsid w:val="0000058A"/>
    <w:rsid w:val="00010BC2"/>
    <w:rsid w:val="000219BD"/>
    <w:rsid w:val="00024788"/>
    <w:rsid w:val="0005428B"/>
    <w:rsid w:val="00066D7F"/>
    <w:rsid w:val="00071BFD"/>
    <w:rsid w:val="00083760"/>
    <w:rsid w:val="000859E0"/>
    <w:rsid w:val="000B6E0B"/>
    <w:rsid w:val="000D0578"/>
    <w:rsid w:val="000E16D7"/>
    <w:rsid w:val="000F031D"/>
    <w:rsid w:val="000F5439"/>
    <w:rsid w:val="00106B90"/>
    <w:rsid w:val="001349B2"/>
    <w:rsid w:val="0013777B"/>
    <w:rsid w:val="001456D1"/>
    <w:rsid w:val="00147456"/>
    <w:rsid w:val="00147BFD"/>
    <w:rsid w:val="0015390D"/>
    <w:rsid w:val="001565E7"/>
    <w:rsid w:val="00161F73"/>
    <w:rsid w:val="001622E4"/>
    <w:rsid w:val="00175B18"/>
    <w:rsid w:val="00181233"/>
    <w:rsid w:val="001832B4"/>
    <w:rsid w:val="001859CA"/>
    <w:rsid w:val="001A13E5"/>
    <w:rsid w:val="001A1AD9"/>
    <w:rsid w:val="001A7AAF"/>
    <w:rsid w:val="001B7390"/>
    <w:rsid w:val="001C67D2"/>
    <w:rsid w:val="001D3A08"/>
    <w:rsid w:val="001E7D3D"/>
    <w:rsid w:val="001F4EF7"/>
    <w:rsid w:val="00201312"/>
    <w:rsid w:val="002032A3"/>
    <w:rsid w:val="00205CE4"/>
    <w:rsid w:val="0020726F"/>
    <w:rsid w:val="0022621A"/>
    <w:rsid w:val="00243F61"/>
    <w:rsid w:val="00246DD1"/>
    <w:rsid w:val="00247743"/>
    <w:rsid w:val="00260706"/>
    <w:rsid w:val="00264020"/>
    <w:rsid w:val="00264132"/>
    <w:rsid w:val="002713BE"/>
    <w:rsid w:val="002719AF"/>
    <w:rsid w:val="00277EF0"/>
    <w:rsid w:val="00295701"/>
    <w:rsid w:val="002B2BA2"/>
    <w:rsid w:val="002C2151"/>
    <w:rsid w:val="002C498A"/>
    <w:rsid w:val="002D0074"/>
    <w:rsid w:val="002D7519"/>
    <w:rsid w:val="002E0721"/>
    <w:rsid w:val="002E6C51"/>
    <w:rsid w:val="002F7AC2"/>
    <w:rsid w:val="00305499"/>
    <w:rsid w:val="0032078D"/>
    <w:rsid w:val="00334A82"/>
    <w:rsid w:val="00340FBE"/>
    <w:rsid w:val="00346EC1"/>
    <w:rsid w:val="003512B0"/>
    <w:rsid w:val="0035139C"/>
    <w:rsid w:val="00397A9F"/>
    <w:rsid w:val="003A1A94"/>
    <w:rsid w:val="003A20AA"/>
    <w:rsid w:val="003A45DF"/>
    <w:rsid w:val="003A6EC6"/>
    <w:rsid w:val="003B5C4C"/>
    <w:rsid w:val="003C055D"/>
    <w:rsid w:val="003C1E6C"/>
    <w:rsid w:val="003C43E6"/>
    <w:rsid w:val="003D1500"/>
    <w:rsid w:val="003D6486"/>
    <w:rsid w:val="00407583"/>
    <w:rsid w:val="0041006C"/>
    <w:rsid w:val="004128EC"/>
    <w:rsid w:val="00413565"/>
    <w:rsid w:val="0043764F"/>
    <w:rsid w:val="00440E05"/>
    <w:rsid w:val="00446141"/>
    <w:rsid w:val="00451577"/>
    <w:rsid w:val="00461069"/>
    <w:rsid w:val="00470174"/>
    <w:rsid w:val="00484A17"/>
    <w:rsid w:val="00491E46"/>
    <w:rsid w:val="00492F6F"/>
    <w:rsid w:val="004A082E"/>
    <w:rsid w:val="004A3924"/>
    <w:rsid w:val="004A4E16"/>
    <w:rsid w:val="004C14E5"/>
    <w:rsid w:val="004C52B6"/>
    <w:rsid w:val="004D35B1"/>
    <w:rsid w:val="004D3C10"/>
    <w:rsid w:val="004E0E83"/>
    <w:rsid w:val="004E5EA7"/>
    <w:rsid w:val="004F640B"/>
    <w:rsid w:val="004F7C20"/>
    <w:rsid w:val="00520F72"/>
    <w:rsid w:val="0053259A"/>
    <w:rsid w:val="00546AC0"/>
    <w:rsid w:val="00547BE7"/>
    <w:rsid w:val="005530DC"/>
    <w:rsid w:val="005627B7"/>
    <w:rsid w:val="00565664"/>
    <w:rsid w:val="0057081B"/>
    <w:rsid w:val="005717E8"/>
    <w:rsid w:val="00574452"/>
    <w:rsid w:val="005835A5"/>
    <w:rsid w:val="00587032"/>
    <w:rsid w:val="0059519D"/>
    <w:rsid w:val="005A2787"/>
    <w:rsid w:val="005C227F"/>
    <w:rsid w:val="005C238F"/>
    <w:rsid w:val="005D71E8"/>
    <w:rsid w:val="005E57B0"/>
    <w:rsid w:val="0060199A"/>
    <w:rsid w:val="00610F6F"/>
    <w:rsid w:val="0063494E"/>
    <w:rsid w:val="0063644E"/>
    <w:rsid w:val="00636B2A"/>
    <w:rsid w:val="00637718"/>
    <w:rsid w:val="006546E0"/>
    <w:rsid w:val="00660654"/>
    <w:rsid w:val="00666630"/>
    <w:rsid w:val="0067768B"/>
    <w:rsid w:val="0068133A"/>
    <w:rsid w:val="0068223E"/>
    <w:rsid w:val="00691796"/>
    <w:rsid w:val="006A1E75"/>
    <w:rsid w:val="006A2A02"/>
    <w:rsid w:val="006A3D9B"/>
    <w:rsid w:val="006A41F4"/>
    <w:rsid w:val="006B3337"/>
    <w:rsid w:val="006C1E6B"/>
    <w:rsid w:val="006D0673"/>
    <w:rsid w:val="006D1ABB"/>
    <w:rsid w:val="006D1E19"/>
    <w:rsid w:val="006D2907"/>
    <w:rsid w:val="006E03D2"/>
    <w:rsid w:val="006E393F"/>
    <w:rsid w:val="006F7B18"/>
    <w:rsid w:val="00710FD3"/>
    <w:rsid w:val="00711A0C"/>
    <w:rsid w:val="007214F8"/>
    <w:rsid w:val="00723291"/>
    <w:rsid w:val="00723AC1"/>
    <w:rsid w:val="0074027C"/>
    <w:rsid w:val="00775369"/>
    <w:rsid w:val="00791EF0"/>
    <w:rsid w:val="007A0AD2"/>
    <w:rsid w:val="007A5ECA"/>
    <w:rsid w:val="007B0F03"/>
    <w:rsid w:val="007B3B7C"/>
    <w:rsid w:val="007C1559"/>
    <w:rsid w:val="007D0D47"/>
    <w:rsid w:val="007E6961"/>
    <w:rsid w:val="007F6228"/>
    <w:rsid w:val="00810E4D"/>
    <w:rsid w:val="008142B2"/>
    <w:rsid w:val="008216B0"/>
    <w:rsid w:val="008239A3"/>
    <w:rsid w:val="00836854"/>
    <w:rsid w:val="008400E2"/>
    <w:rsid w:val="00844931"/>
    <w:rsid w:val="00864ECE"/>
    <w:rsid w:val="00865B18"/>
    <w:rsid w:val="008661B2"/>
    <w:rsid w:val="008876FA"/>
    <w:rsid w:val="00891A71"/>
    <w:rsid w:val="00895810"/>
    <w:rsid w:val="008A1BB9"/>
    <w:rsid w:val="008A77B4"/>
    <w:rsid w:val="008B38AA"/>
    <w:rsid w:val="008C0E60"/>
    <w:rsid w:val="008C40D1"/>
    <w:rsid w:val="008C5FA6"/>
    <w:rsid w:val="008D5E52"/>
    <w:rsid w:val="008E3A3E"/>
    <w:rsid w:val="008F2C88"/>
    <w:rsid w:val="00906650"/>
    <w:rsid w:val="00907B7E"/>
    <w:rsid w:val="00910687"/>
    <w:rsid w:val="0092643F"/>
    <w:rsid w:val="0093785F"/>
    <w:rsid w:val="00944726"/>
    <w:rsid w:val="00944D47"/>
    <w:rsid w:val="00956492"/>
    <w:rsid w:val="009566E4"/>
    <w:rsid w:val="00972A3E"/>
    <w:rsid w:val="00984525"/>
    <w:rsid w:val="0098518C"/>
    <w:rsid w:val="00985A2D"/>
    <w:rsid w:val="0099210B"/>
    <w:rsid w:val="009A6043"/>
    <w:rsid w:val="009A6C28"/>
    <w:rsid w:val="009B0382"/>
    <w:rsid w:val="009C4E7E"/>
    <w:rsid w:val="009D2178"/>
    <w:rsid w:val="009E2B4D"/>
    <w:rsid w:val="009E5957"/>
    <w:rsid w:val="00A0040C"/>
    <w:rsid w:val="00A05F32"/>
    <w:rsid w:val="00A11497"/>
    <w:rsid w:val="00A27301"/>
    <w:rsid w:val="00A27550"/>
    <w:rsid w:val="00A41C32"/>
    <w:rsid w:val="00A65BEC"/>
    <w:rsid w:val="00A668B7"/>
    <w:rsid w:val="00A74736"/>
    <w:rsid w:val="00A7653D"/>
    <w:rsid w:val="00A86BC6"/>
    <w:rsid w:val="00A90047"/>
    <w:rsid w:val="00A93913"/>
    <w:rsid w:val="00A9772E"/>
    <w:rsid w:val="00AA5265"/>
    <w:rsid w:val="00AB4F77"/>
    <w:rsid w:val="00AC1185"/>
    <w:rsid w:val="00AC2A70"/>
    <w:rsid w:val="00AD35B4"/>
    <w:rsid w:val="00AF379D"/>
    <w:rsid w:val="00B102FC"/>
    <w:rsid w:val="00B133AF"/>
    <w:rsid w:val="00B17A6A"/>
    <w:rsid w:val="00B23DC6"/>
    <w:rsid w:val="00B376F6"/>
    <w:rsid w:val="00B42E4B"/>
    <w:rsid w:val="00B45038"/>
    <w:rsid w:val="00B46483"/>
    <w:rsid w:val="00B474AA"/>
    <w:rsid w:val="00B477AB"/>
    <w:rsid w:val="00B67C80"/>
    <w:rsid w:val="00B67DC3"/>
    <w:rsid w:val="00B776AF"/>
    <w:rsid w:val="00B930F1"/>
    <w:rsid w:val="00BB5027"/>
    <w:rsid w:val="00BC29EC"/>
    <w:rsid w:val="00BC6DB6"/>
    <w:rsid w:val="00BC7B0B"/>
    <w:rsid w:val="00BD06F3"/>
    <w:rsid w:val="00BD6C72"/>
    <w:rsid w:val="00BF4BD2"/>
    <w:rsid w:val="00BF5288"/>
    <w:rsid w:val="00C02462"/>
    <w:rsid w:val="00C371FB"/>
    <w:rsid w:val="00C504E7"/>
    <w:rsid w:val="00C6575A"/>
    <w:rsid w:val="00C67083"/>
    <w:rsid w:val="00C82F54"/>
    <w:rsid w:val="00C84464"/>
    <w:rsid w:val="00C90DE7"/>
    <w:rsid w:val="00CA04B2"/>
    <w:rsid w:val="00CB4971"/>
    <w:rsid w:val="00CB60C8"/>
    <w:rsid w:val="00CD1DBB"/>
    <w:rsid w:val="00CD5318"/>
    <w:rsid w:val="00CD5808"/>
    <w:rsid w:val="00CD66AB"/>
    <w:rsid w:val="00CD66D9"/>
    <w:rsid w:val="00D078CE"/>
    <w:rsid w:val="00D157B7"/>
    <w:rsid w:val="00D227C6"/>
    <w:rsid w:val="00D23996"/>
    <w:rsid w:val="00D25A94"/>
    <w:rsid w:val="00D4201B"/>
    <w:rsid w:val="00D52729"/>
    <w:rsid w:val="00D559D5"/>
    <w:rsid w:val="00D61ADA"/>
    <w:rsid w:val="00D669DE"/>
    <w:rsid w:val="00D743C9"/>
    <w:rsid w:val="00D74CBA"/>
    <w:rsid w:val="00D82A52"/>
    <w:rsid w:val="00D932C8"/>
    <w:rsid w:val="00D93EEE"/>
    <w:rsid w:val="00D97EDF"/>
    <w:rsid w:val="00DA251A"/>
    <w:rsid w:val="00DA6DBA"/>
    <w:rsid w:val="00DA70D8"/>
    <w:rsid w:val="00DB0D17"/>
    <w:rsid w:val="00DB395F"/>
    <w:rsid w:val="00DC59B4"/>
    <w:rsid w:val="00DD118E"/>
    <w:rsid w:val="00DE6A2E"/>
    <w:rsid w:val="00E0164B"/>
    <w:rsid w:val="00E02341"/>
    <w:rsid w:val="00E10A89"/>
    <w:rsid w:val="00E1762D"/>
    <w:rsid w:val="00E23D1E"/>
    <w:rsid w:val="00E2589A"/>
    <w:rsid w:val="00E2663E"/>
    <w:rsid w:val="00E377D0"/>
    <w:rsid w:val="00E42B36"/>
    <w:rsid w:val="00E463EC"/>
    <w:rsid w:val="00E47954"/>
    <w:rsid w:val="00E63582"/>
    <w:rsid w:val="00E714E7"/>
    <w:rsid w:val="00E7577B"/>
    <w:rsid w:val="00E77018"/>
    <w:rsid w:val="00E8597C"/>
    <w:rsid w:val="00E86E45"/>
    <w:rsid w:val="00E870F4"/>
    <w:rsid w:val="00EB1668"/>
    <w:rsid w:val="00EC1D54"/>
    <w:rsid w:val="00EC6744"/>
    <w:rsid w:val="00EC6AC2"/>
    <w:rsid w:val="00ED46CC"/>
    <w:rsid w:val="00ED58C9"/>
    <w:rsid w:val="00EE0CF9"/>
    <w:rsid w:val="00F0690C"/>
    <w:rsid w:val="00F1129F"/>
    <w:rsid w:val="00F160DC"/>
    <w:rsid w:val="00F16739"/>
    <w:rsid w:val="00F4294E"/>
    <w:rsid w:val="00F66636"/>
    <w:rsid w:val="00F755C2"/>
    <w:rsid w:val="00F85F97"/>
    <w:rsid w:val="00F92B66"/>
    <w:rsid w:val="00F92BF4"/>
    <w:rsid w:val="00FA6A4B"/>
    <w:rsid w:val="00FC195F"/>
    <w:rsid w:val="00FD043D"/>
    <w:rsid w:val="00FE2278"/>
    <w:rsid w:val="00F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C4D582"/>
  <w15:docId w15:val="{811C5722-6B32-406F-A075-E3DB3347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semiHidden/>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E4"/>
    <w:rPr>
      <w:rFonts w:eastAsiaTheme="minorEastAsia"/>
      <w:sz w:val="20"/>
      <w:szCs w:val="20"/>
    </w:rPr>
  </w:style>
  <w:style w:type="character" w:styleId="FootnoteReference">
    <w:name w:val="footnote reference"/>
    <w:basedOn w:val="DefaultParagraphFont"/>
    <w:uiPriority w:val="99"/>
    <w:semiHidden/>
    <w:unhideWhenUsed/>
    <w:rsid w:val="00205CE4"/>
    <w:rPr>
      <w:vertAlign w:val="superscript"/>
    </w:rPr>
  </w:style>
  <w:style w:type="character" w:styleId="CommentReference">
    <w:name w:val="annotation reference"/>
    <w:basedOn w:val="DefaultParagraphFont"/>
    <w:uiPriority w:val="99"/>
    <w:semiHidden/>
    <w:unhideWhenUsed/>
    <w:rsid w:val="00DA70D8"/>
    <w:rPr>
      <w:sz w:val="16"/>
      <w:szCs w:val="16"/>
    </w:rPr>
  </w:style>
  <w:style w:type="paragraph" w:styleId="CommentText">
    <w:name w:val="annotation text"/>
    <w:basedOn w:val="Normal"/>
    <w:link w:val="CommentTextChar"/>
    <w:uiPriority w:val="99"/>
    <w:semiHidden/>
    <w:unhideWhenUsed/>
    <w:rsid w:val="00DA70D8"/>
    <w:pPr>
      <w:spacing w:line="240" w:lineRule="auto"/>
    </w:pPr>
    <w:rPr>
      <w:sz w:val="20"/>
      <w:szCs w:val="20"/>
    </w:rPr>
  </w:style>
  <w:style w:type="character" w:customStyle="1" w:styleId="CommentTextChar">
    <w:name w:val="Comment Text Char"/>
    <w:basedOn w:val="DefaultParagraphFont"/>
    <w:link w:val="CommentText"/>
    <w:uiPriority w:val="99"/>
    <w:semiHidden/>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customStyle="1" w:styleId="CommentSubjectChar">
    <w:name w:val="Comment Subject Char"/>
    <w:basedOn w:val="CommentTextChar"/>
    <w:link w:val="CommentSubject"/>
    <w:uiPriority w:val="99"/>
    <w:semiHidden/>
    <w:rsid w:val="00DA70D8"/>
    <w:rPr>
      <w:b/>
      <w:bCs/>
      <w:sz w:val="20"/>
      <w:szCs w:val="20"/>
    </w:rPr>
  </w:style>
  <w:style w:type="paragraph" w:styleId="Revision">
    <w:name w:val="Revision"/>
    <w:hidden/>
    <w:uiPriority w:val="99"/>
    <w:semiHidden/>
    <w:rsid w:val="002D0074"/>
    <w:pPr>
      <w:spacing w:after="0" w:line="240" w:lineRule="auto"/>
    </w:pPr>
  </w:style>
  <w:style w:type="table" w:styleId="TableGrid">
    <w:name w:val="Table Grid"/>
    <w:basedOn w:val="TableNormal"/>
    <w:uiPriority w:val="59"/>
    <w:rsid w:val="00D7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Web2"/>
    <w:uiPriority w:val="99"/>
    <w:rsid w:val="00D74CB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74CB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BB5027"/>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56938">
      <w:bodyDiv w:val="1"/>
      <w:marLeft w:val="0"/>
      <w:marRight w:val="0"/>
      <w:marTop w:val="0"/>
      <w:marBottom w:val="0"/>
      <w:divBdr>
        <w:top w:val="none" w:sz="0" w:space="0" w:color="auto"/>
        <w:left w:val="none" w:sz="0" w:space="0" w:color="auto"/>
        <w:bottom w:val="none" w:sz="0" w:space="0" w:color="auto"/>
        <w:right w:val="none" w:sz="0" w:space="0" w:color="auto"/>
      </w:divBdr>
    </w:div>
    <w:div w:id="937831836">
      <w:bodyDiv w:val="1"/>
      <w:marLeft w:val="0"/>
      <w:marRight w:val="0"/>
      <w:marTop w:val="0"/>
      <w:marBottom w:val="0"/>
      <w:divBdr>
        <w:top w:val="none" w:sz="0" w:space="0" w:color="auto"/>
        <w:left w:val="none" w:sz="0" w:space="0" w:color="auto"/>
        <w:bottom w:val="none" w:sz="0" w:space="0" w:color="auto"/>
        <w:right w:val="none" w:sz="0" w:space="0" w:color="auto"/>
      </w:divBdr>
    </w:div>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feskillstraining.com/botvin-lifeskills-training-middle-school-progra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goodprograms.org/collections/too-good-for-dru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anning-bete.com/prevention-programs/guiding-good-choices/guiding-good-choices.html" TargetMode="External"/><Relationship Id="rId4" Type="http://schemas.openxmlformats.org/officeDocument/2006/relationships/settings" Target="settings.xml"/><Relationship Id="rId9" Type="http://schemas.openxmlformats.org/officeDocument/2006/relationships/hyperlink" Target="https://www.lifeskillstraining.com/botvin-lifeskills-training-high-school-progra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93C46-7CBD-4901-BA09-DE4BAC0D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2010</Words>
  <Characters>11462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mercier-tammie</dc:creator>
  <cp:lastModifiedBy>Micallef, Jimmers</cp:lastModifiedBy>
  <cp:revision>2</cp:revision>
  <cp:lastPrinted>2018-03-28T15:20:00Z</cp:lastPrinted>
  <dcterms:created xsi:type="dcterms:W3CDTF">2018-06-08T18:11:00Z</dcterms:created>
  <dcterms:modified xsi:type="dcterms:W3CDTF">2018-06-08T18:11:00Z</dcterms:modified>
</cp:coreProperties>
</file>