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3FB" w:rsidRDefault="00C22FAC" w:rsidP="002F23FB">
      <w:pPr>
        <w:spacing w:before="120" w:after="120" w:line="240" w:lineRule="auto"/>
        <w:contextualSpacing/>
        <w:jc w:val="center"/>
        <w:rPr>
          <w:rFonts w:ascii="Arial Narrow" w:eastAsia="Times New Roman" w:hAnsi="Arial Narrow" w:cs="Times New Roman"/>
          <w:b/>
          <w:bCs/>
          <w:sz w:val="24"/>
          <w:szCs w:val="24"/>
        </w:rPr>
      </w:pPr>
      <w:r>
        <w:rPr>
          <w:rFonts w:ascii="Arial Narrow" w:eastAsia="Times New Roman" w:hAnsi="Arial Narrow" w:cs="Times New Roman"/>
          <w:b/>
          <w:bCs/>
          <w:sz w:val="24"/>
          <w:szCs w:val="24"/>
        </w:rPr>
        <w:t xml:space="preserve">Guidance </w:t>
      </w:r>
      <w:r w:rsidR="00141A86">
        <w:rPr>
          <w:rFonts w:ascii="Arial Narrow" w:eastAsia="Times New Roman" w:hAnsi="Arial Narrow" w:cs="Times New Roman"/>
          <w:b/>
          <w:bCs/>
          <w:sz w:val="24"/>
          <w:szCs w:val="24"/>
        </w:rPr>
        <w:t>2</w:t>
      </w:r>
      <w:r w:rsidR="00D74ADD">
        <w:rPr>
          <w:rFonts w:ascii="Arial Narrow" w:eastAsia="Times New Roman" w:hAnsi="Arial Narrow" w:cs="Times New Roman"/>
          <w:b/>
          <w:bCs/>
          <w:sz w:val="24"/>
          <w:szCs w:val="24"/>
        </w:rPr>
        <w:t>5</w:t>
      </w:r>
    </w:p>
    <w:p w:rsidR="0059519D" w:rsidRPr="00F84454" w:rsidRDefault="001335F4" w:rsidP="00102A41">
      <w:pPr>
        <w:spacing w:after="0" w:line="240" w:lineRule="auto"/>
        <w:jc w:val="center"/>
        <w:rPr>
          <w:rFonts w:ascii="Arial Narrow" w:hAnsi="Arial Narrow" w:cs="Arial"/>
          <w:b/>
          <w:sz w:val="24"/>
        </w:rPr>
      </w:pPr>
      <w:r w:rsidRPr="00F84454">
        <w:rPr>
          <w:rFonts w:ascii="Arial Narrow" w:hAnsi="Arial Narrow" w:cs="Arial"/>
          <w:b/>
          <w:sz w:val="24"/>
        </w:rPr>
        <w:t>National Voter Registration Act Guidance</w:t>
      </w:r>
    </w:p>
    <w:p w:rsidR="001335F4" w:rsidRPr="00F84454" w:rsidRDefault="001335F4" w:rsidP="00102A41">
      <w:pPr>
        <w:spacing w:after="0" w:line="240" w:lineRule="auto"/>
        <w:jc w:val="center"/>
        <w:rPr>
          <w:rFonts w:ascii="Arial Narrow" w:hAnsi="Arial Narrow" w:cs="Arial"/>
          <w:b/>
          <w:szCs w:val="24"/>
        </w:rPr>
      </w:pPr>
    </w:p>
    <w:p w:rsidR="00C22FAC" w:rsidRPr="00C22FAC" w:rsidRDefault="00C22FAC" w:rsidP="002F23FB">
      <w:pPr>
        <w:spacing w:before="120" w:after="120" w:line="240" w:lineRule="auto"/>
        <w:rPr>
          <w:rFonts w:ascii="Arial Narrow" w:hAnsi="Arial Narrow" w:cs="Arial"/>
          <w:szCs w:val="24"/>
        </w:rPr>
      </w:pPr>
      <w:r>
        <w:rPr>
          <w:rFonts w:ascii="Arial Narrow" w:hAnsi="Arial Narrow" w:cs="Arial"/>
          <w:b/>
          <w:szCs w:val="24"/>
        </w:rPr>
        <w:t>Contract Reference:</w:t>
      </w:r>
      <w:r>
        <w:rPr>
          <w:rFonts w:ascii="Arial Narrow" w:hAnsi="Arial Narrow" w:cs="Arial"/>
          <w:szCs w:val="24"/>
        </w:rPr>
        <w:tab/>
      </w:r>
      <w:r w:rsidRPr="006A35A5">
        <w:rPr>
          <w:rFonts w:ascii="Arial Narrow" w:hAnsi="Arial Narrow" w:cs="Arial"/>
          <w:i/>
          <w:szCs w:val="24"/>
        </w:rPr>
        <w:t>Section</w:t>
      </w:r>
      <w:r w:rsidR="006A35A5" w:rsidRPr="006A35A5">
        <w:rPr>
          <w:rFonts w:ascii="Arial Narrow" w:hAnsi="Arial Narrow" w:cs="Arial"/>
          <w:i/>
          <w:szCs w:val="24"/>
        </w:rPr>
        <w:t>s</w:t>
      </w:r>
      <w:r w:rsidRPr="006A35A5">
        <w:rPr>
          <w:rFonts w:ascii="Arial Narrow" w:hAnsi="Arial Narrow" w:cs="Arial"/>
          <w:i/>
          <w:szCs w:val="24"/>
        </w:rPr>
        <w:t xml:space="preserve"> </w:t>
      </w:r>
      <w:r w:rsidR="006A35A5" w:rsidRPr="006A35A5">
        <w:rPr>
          <w:rFonts w:ascii="Arial Narrow" w:hAnsi="Arial Narrow" w:cs="Arial"/>
          <w:i/>
          <w:szCs w:val="24"/>
        </w:rPr>
        <w:t xml:space="preserve">A-1.1 and </w:t>
      </w:r>
      <w:r w:rsidRPr="006A35A5">
        <w:rPr>
          <w:rFonts w:ascii="Arial Narrow" w:hAnsi="Arial Narrow" w:cs="Arial"/>
          <w:i/>
          <w:szCs w:val="24"/>
        </w:rPr>
        <w:t>C-2.2.3.4</w:t>
      </w:r>
    </w:p>
    <w:p w:rsidR="00082670" w:rsidRPr="00F84454" w:rsidRDefault="00C22FAC" w:rsidP="002F23FB">
      <w:pPr>
        <w:spacing w:before="120" w:after="120" w:line="240" w:lineRule="auto"/>
        <w:rPr>
          <w:rFonts w:ascii="Arial Narrow" w:hAnsi="Arial Narrow" w:cs="Arial"/>
          <w:szCs w:val="24"/>
        </w:rPr>
      </w:pPr>
      <w:r>
        <w:rPr>
          <w:rFonts w:ascii="Arial Narrow" w:hAnsi="Arial Narrow" w:cs="Arial"/>
          <w:b/>
          <w:szCs w:val="24"/>
        </w:rPr>
        <w:t>Authority</w:t>
      </w:r>
      <w:r w:rsidR="0059519D" w:rsidRPr="00F84454">
        <w:rPr>
          <w:rFonts w:ascii="Arial Narrow" w:hAnsi="Arial Narrow" w:cs="Arial"/>
          <w:b/>
          <w:szCs w:val="24"/>
        </w:rPr>
        <w:t>:</w:t>
      </w:r>
      <w:r w:rsidR="00082670" w:rsidRPr="00F84454">
        <w:rPr>
          <w:rFonts w:ascii="Arial Narrow" w:hAnsi="Arial Narrow" w:cs="Arial"/>
          <w:b/>
          <w:szCs w:val="24"/>
        </w:rPr>
        <w:tab/>
      </w:r>
      <w:r>
        <w:rPr>
          <w:rFonts w:ascii="Arial Narrow" w:hAnsi="Arial Narrow" w:cs="Arial"/>
          <w:b/>
          <w:szCs w:val="24"/>
        </w:rPr>
        <w:tab/>
      </w:r>
      <w:r w:rsidR="00366D19" w:rsidRPr="00F84454">
        <w:rPr>
          <w:rFonts w:ascii="Arial Narrow" w:hAnsi="Arial Narrow" w:cs="Arial"/>
          <w:i/>
          <w:szCs w:val="24"/>
        </w:rPr>
        <w:t>S</w:t>
      </w:r>
      <w:r w:rsidR="00983CC5" w:rsidRPr="00F84454">
        <w:rPr>
          <w:rFonts w:ascii="Arial Narrow" w:hAnsi="Arial Narrow" w:cs="Arial"/>
          <w:i/>
          <w:szCs w:val="24"/>
        </w:rPr>
        <w:t>ection</w:t>
      </w:r>
      <w:r w:rsidR="00983CC5" w:rsidRPr="00F84454">
        <w:rPr>
          <w:rFonts w:ascii="Arial Narrow" w:hAnsi="Arial Narrow" w:cs="Arial"/>
          <w:b/>
          <w:i/>
          <w:szCs w:val="24"/>
        </w:rPr>
        <w:t xml:space="preserve"> </w:t>
      </w:r>
      <w:r w:rsidR="0063292B" w:rsidRPr="00F84454">
        <w:rPr>
          <w:rFonts w:ascii="Arial Narrow" w:hAnsi="Arial Narrow" w:cs="Arial"/>
          <w:i/>
          <w:szCs w:val="24"/>
        </w:rPr>
        <w:t>97</w:t>
      </w:r>
      <w:r w:rsidR="00082670" w:rsidRPr="00F84454">
        <w:rPr>
          <w:rFonts w:ascii="Arial Narrow" w:hAnsi="Arial Narrow" w:cs="Arial"/>
          <w:i/>
          <w:szCs w:val="24"/>
        </w:rPr>
        <w:t>.</w:t>
      </w:r>
      <w:r w:rsidR="0063292B" w:rsidRPr="00F84454">
        <w:rPr>
          <w:rFonts w:ascii="Arial Narrow" w:hAnsi="Arial Narrow" w:cs="Arial"/>
          <w:i/>
          <w:szCs w:val="24"/>
        </w:rPr>
        <w:t>0</w:t>
      </w:r>
      <w:r w:rsidR="00CD76BC">
        <w:rPr>
          <w:rFonts w:ascii="Arial Narrow" w:hAnsi="Arial Narrow" w:cs="Arial"/>
          <w:i/>
          <w:szCs w:val="24"/>
        </w:rPr>
        <w:t>5</w:t>
      </w:r>
      <w:r w:rsidR="00552250">
        <w:rPr>
          <w:rFonts w:ascii="Arial Narrow" w:hAnsi="Arial Narrow" w:cs="Arial"/>
          <w:i/>
          <w:szCs w:val="24"/>
        </w:rPr>
        <w:t>8</w:t>
      </w:r>
      <w:r w:rsidR="00082670" w:rsidRPr="00F84454">
        <w:rPr>
          <w:rFonts w:ascii="Arial Narrow" w:hAnsi="Arial Narrow" w:cs="Arial"/>
          <w:i/>
          <w:szCs w:val="24"/>
        </w:rPr>
        <w:t>, F</w:t>
      </w:r>
      <w:r w:rsidR="00983CC5" w:rsidRPr="00F84454">
        <w:rPr>
          <w:rFonts w:ascii="Arial Narrow" w:hAnsi="Arial Narrow" w:cs="Arial"/>
          <w:i/>
          <w:szCs w:val="24"/>
        </w:rPr>
        <w:t>.</w:t>
      </w:r>
      <w:r w:rsidR="00082670" w:rsidRPr="00F84454">
        <w:rPr>
          <w:rFonts w:ascii="Arial Narrow" w:hAnsi="Arial Narrow" w:cs="Arial"/>
          <w:i/>
          <w:szCs w:val="24"/>
        </w:rPr>
        <w:t>S</w:t>
      </w:r>
      <w:r>
        <w:rPr>
          <w:rFonts w:ascii="Arial Narrow" w:hAnsi="Arial Narrow" w:cs="Arial"/>
          <w:i/>
          <w:szCs w:val="24"/>
        </w:rPr>
        <w:t>.</w:t>
      </w:r>
    </w:p>
    <w:p w:rsidR="0059519D" w:rsidRPr="00F84454" w:rsidRDefault="00082670" w:rsidP="002F23FB">
      <w:pPr>
        <w:spacing w:before="120" w:after="120" w:line="240" w:lineRule="auto"/>
        <w:rPr>
          <w:rFonts w:ascii="Arial Narrow" w:hAnsi="Arial Narrow" w:cs="Arial"/>
          <w:szCs w:val="24"/>
        </w:rPr>
      </w:pPr>
      <w:r w:rsidRPr="00F84454">
        <w:rPr>
          <w:rFonts w:ascii="Arial Narrow" w:hAnsi="Arial Narrow" w:cs="Arial"/>
          <w:b/>
          <w:szCs w:val="24"/>
        </w:rPr>
        <w:t>F</w:t>
      </w:r>
      <w:r w:rsidR="0059519D" w:rsidRPr="00F84454">
        <w:rPr>
          <w:rFonts w:ascii="Arial Narrow" w:hAnsi="Arial Narrow" w:cs="Arial"/>
          <w:b/>
          <w:szCs w:val="24"/>
        </w:rPr>
        <w:t>requency:</w:t>
      </w:r>
      <w:r w:rsidR="0059519D" w:rsidRPr="00F84454">
        <w:rPr>
          <w:rFonts w:ascii="Arial Narrow" w:hAnsi="Arial Narrow" w:cs="Arial"/>
          <w:szCs w:val="24"/>
        </w:rPr>
        <w:tab/>
      </w:r>
      <w:r w:rsidR="00C22FAC">
        <w:rPr>
          <w:rFonts w:ascii="Arial Narrow" w:hAnsi="Arial Narrow" w:cs="Arial"/>
          <w:szCs w:val="24"/>
        </w:rPr>
        <w:tab/>
      </w:r>
      <w:r w:rsidR="00385BF2" w:rsidRPr="006A35A5">
        <w:rPr>
          <w:rFonts w:ascii="Arial Narrow" w:hAnsi="Arial Narrow" w:cs="Arial"/>
          <w:i/>
          <w:szCs w:val="24"/>
        </w:rPr>
        <w:t>Data collection report due quarterly</w:t>
      </w:r>
    </w:p>
    <w:p w:rsidR="0059519D" w:rsidRPr="006A35A5" w:rsidRDefault="0059519D" w:rsidP="002F23FB">
      <w:pPr>
        <w:spacing w:before="120" w:after="120" w:line="240" w:lineRule="auto"/>
        <w:rPr>
          <w:rFonts w:ascii="Arial Narrow" w:hAnsi="Arial Narrow" w:cs="Arial"/>
          <w:i/>
          <w:szCs w:val="24"/>
        </w:rPr>
      </w:pPr>
      <w:r w:rsidRPr="00F84454">
        <w:rPr>
          <w:rFonts w:ascii="Arial Narrow" w:hAnsi="Arial Narrow" w:cs="Arial"/>
          <w:b/>
          <w:szCs w:val="24"/>
        </w:rPr>
        <w:t>Due Date</w:t>
      </w:r>
      <w:r w:rsidR="00385BF2" w:rsidRPr="00F84454">
        <w:rPr>
          <w:rFonts w:ascii="Arial Narrow" w:hAnsi="Arial Narrow" w:cs="Arial"/>
          <w:b/>
          <w:szCs w:val="24"/>
        </w:rPr>
        <w:t>s</w:t>
      </w:r>
      <w:r w:rsidRPr="00F84454">
        <w:rPr>
          <w:rFonts w:ascii="Arial Narrow" w:hAnsi="Arial Narrow" w:cs="Arial"/>
          <w:b/>
          <w:szCs w:val="24"/>
        </w:rPr>
        <w:t>:</w:t>
      </w:r>
      <w:r w:rsidR="004A082E" w:rsidRPr="00F84454">
        <w:rPr>
          <w:rFonts w:ascii="Arial Narrow" w:hAnsi="Arial Narrow" w:cs="Arial"/>
          <w:szCs w:val="24"/>
        </w:rPr>
        <w:tab/>
      </w:r>
      <w:r w:rsidR="00C22FAC">
        <w:rPr>
          <w:rFonts w:ascii="Arial Narrow" w:hAnsi="Arial Narrow" w:cs="Arial"/>
          <w:szCs w:val="24"/>
        </w:rPr>
        <w:tab/>
      </w:r>
      <w:r w:rsidR="00385BF2" w:rsidRPr="006A35A5">
        <w:rPr>
          <w:rFonts w:ascii="Arial Narrow" w:hAnsi="Arial Narrow" w:cs="Arial"/>
          <w:i/>
          <w:szCs w:val="24"/>
        </w:rPr>
        <w:t>April 10</w:t>
      </w:r>
      <w:r w:rsidR="00385BF2" w:rsidRPr="006A35A5">
        <w:rPr>
          <w:rFonts w:ascii="Arial Narrow" w:hAnsi="Arial Narrow" w:cs="Arial"/>
          <w:i/>
          <w:szCs w:val="24"/>
          <w:vertAlign w:val="superscript"/>
        </w:rPr>
        <w:t>th</w:t>
      </w:r>
      <w:r w:rsidR="00385BF2" w:rsidRPr="006A35A5">
        <w:rPr>
          <w:rFonts w:ascii="Arial Narrow" w:hAnsi="Arial Narrow" w:cs="Arial"/>
          <w:i/>
          <w:szCs w:val="24"/>
        </w:rPr>
        <w:t>, July 10</w:t>
      </w:r>
      <w:r w:rsidR="00385BF2" w:rsidRPr="006A35A5">
        <w:rPr>
          <w:rFonts w:ascii="Arial Narrow" w:hAnsi="Arial Narrow" w:cs="Arial"/>
          <w:i/>
          <w:szCs w:val="24"/>
          <w:vertAlign w:val="superscript"/>
        </w:rPr>
        <w:t>th</w:t>
      </w:r>
      <w:r w:rsidR="00385BF2" w:rsidRPr="006A35A5">
        <w:rPr>
          <w:rFonts w:ascii="Arial Narrow" w:hAnsi="Arial Narrow" w:cs="Arial"/>
          <w:i/>
          <w:szCs w:val="24"/>
        </w:rPr>
        <w:t>, October 10</w:t>
      </w:r>
      <w:r w:rsidR="00385BF2" w:rsidRPr="006A35A5">
        <w:rPr>
          <w:rFonts w:ascii="Arial Narrow" w:hAnsi="Arial Narrow" w:cs="Arial"/>
          <w:i/>
          <w:szCs w:val="24"/>
          <w:vertAlign w:val="superscript"/>
        </w:rPr>
        <w:t>th</w:t>
      </w:r>
      <w:r w:rsidR="00385BF2" w:rsidRPr="006A35A5">
        <w:rPr>
          <w:rFonts w:ascii="Arial Narrow" w:hAnsi="Arial Narrow" w:cs="Arial"/>
          <w:i/>
          <w:szCs w:val="24"/>
        </w:rPr>
        <w:t>, January 10</w:t>
      </w:r>
      <w:r w:rsidR="00385BF2" w:rsidRPr="006A35A5">
        <w:rPr>
          <w:rFonts w:ascii="Arial Narrow" w:hAnsi="Arial Narrow" w:cs="Arial"/>
          <w:i/>
          <w:szCs w:val="24"/>
          <w:vertAlign w:val="superscript"/>
        </w:rPr>
        <w:t>th</w:t>
      </w:r>
    </w:p>
    <w:p w:rsidR="00C22FAC" w:rsidRDefault="008376B6" w:rsidP="002F23FB">
      <w:pPr>
        <w:spacing w:before="120" w:after="120" w:line="240" w:lineRule="auto"/>
        <w:rPr>
          <w:rFonts w:ascii="Arial Narrow" w:hAnsi="Arial Narrow"/>
        </w:rPr>
      </w:pPr>
      <w:r w:rsidRPr="00F84454">
        <w:rPr>
          <w:rFonts w:ascii="Arial Narrow" w:hAnsi="Arial Narrow"/>
          <w:b/>
        </w:rPr>
        <w:t>D</w:t>
      </w:r>
      <w:r w:rsidR="00C22FAC">
        <w:rPr>
          <w:rFonts w:ascii="Arial Narrow" w:hAnsi="Arial Narrow"/>
          <w:b/>
        </w:rPr>
        <w:t>iscussion</w:t>
      </w:r>
      <w:r w:rsidRPr="00F84454">
        <w:rPr>
          <w:rFonts w:ascii="Arial Narrow" w:hAnsi="Arial Narrow"/>
          <w:b/>
        </w:rPr>
        <w:t>:</w:t>
      </w:r>
      <w:r w:rsidRPr="00F84454">
        <w:rPr>
          <w:rFonts w:ascii="Arial Narrow" w:hAnsi="Arial Narrow"/>
        </w:rPr>
        <w:t xml:space="preserve"> </w:t>
      </w:r>
      <w:bookmarkStart w:id="0" w:name="_GoBack"/>
      <w:bookmarkEnd w:id="0"/>
    </w:p>
    <w:p w:rsidR="001335F4" w:rsidRPr="00F84454" w:rsidRDefault="001335F4" w:rsidP="002F23FB">
      <w:pPr>
        <w:spacing w:before="120" w:after="120" w:line="240" w:lineRule="auto"/>
        <w:rPr>
          <w:rFonts w:ascii="Arial Narrow" w:hAnsi="Arial Narrow"/>
        </w:rPr>
      </w:pPr>
      <w:r w:rsidRPr="00F84454">
        <w:rPr>
          <w:rFonts w:ascii="Arial Narrow" w:hAnsi="Arial Narrow"/>
        </w:rPr>
        <w:t>The purpose of this document is to provide guidance as to the National Voter Registration Act</w:t>
      </w:r>
      <w:r w:rsidRPr="00F84454">
        <w:rPr>
          <w:rStyle w:val="FootnoteReference"/>
          <w:rFonts w:ascii="Arial Narrow" w:hAnsi="Arial Narrow"/>
        </w:rPr>
        <w:footnoteReference w:id="1"/>
      </w:r>
      <w:r w:rsidRPr="00F84454">
        <w:rPr>
          <w:rFonts w:ascii="Arial Narrow" w:hAnsi="Arial Narrow"/>
        </w:rPr>
        <w:t xml:space="preserve"> (N</w:t>
      </w:r>
      <w:r w:rsidR="00B41C32" w:rsidRPr="00F84454">
        <w:rPr>
          <w:rFonts w:ascii="Arial Narrow" w:hAnsi="Arial Narrow"/>
        </w:rPr>
        <w:t>VR</w:t>
      </w:r>
      <w:r w:rsidRPr="00F84454">
        <w:rPr>
          <w:rFonts w:ascii="Arial Narrow" w:hAnsi="Arial Narrow"/>
        </w:rPr>
        <w:t>A), in relation to community behavioral health services funded by the Department of Children and Families (Department).  As a Voter Registration Agency (VRA),</w:t>
      </w:r>
      <w:r w:rsidRPr="00F84454">
        <w:rPr>
          <w:rStyle w:val="FootnoteReference"/>
          <w:rFonts w:ascii="Arial Narrow" w:hAnsi="Arial Narrow"/>
        </w:rPr>
        <w:footnoteReference w:id="2"/>
      </w:r>
      <w:r w:rsidRPr="00F84454">
        <w:rPr>
          <w:rFonts w:ascii="Arial Narrow" w:hAnsi="Arial Narrow"/>
        </w:rPr>
        <w:t xml:space="preserve"> the Department must provide people with an opportunity at admission or when they change their address, to either register or update their voter registration.</w:t>
      </w:r>
      <w:r w:rsidRPr="00F84454">
        <w:rPr>
          <w:rStyle w:val="FootnoteReference"/>
          <w:rFonts w:ascii="Arial Narrow" w:hAnsi="Arial Narrow"/>
        </w:rPr>
        <w:footnoteReference w:id="3"/>
      </w:r>
      <w:r w:rsidRPr="00F84454">
        <w:rPr>
          <w:rFonts w:ascii="Arial Narrow" w:hAnsi="Arial Narrow"/>
        </w:rPr>
        <w:t xml:space="preserve"> </w:t>
      </w:r>
    </w:p>
    <w:p w:rsidR="0099141D" w:rsidRDefault="001335F4" w:rsidP="002F23FB">
      <w:pPr>
        <w:spacing w:before="120" w:after="120" w:line="240" w:lineRule="auto"/>
        <w:rPr>
          <w:rFonts w:ascii="Arial Narrow" w:hAnsi="Arial Narrow"/>
          <w:b/>
        </w:rPr>
      </w:pPr>
      <w:r w:rsidRPr="00F84454">
        <w:rPr>
          <w:rFonts w:ascii="Arial Narrow" w:hAnsi="Arial Narrow"/>
          <w:b/>
        </w:rPr>
        <w:t>Application</w:t>
      </w:r>
      <w:r w:rsidR="002F23FB" w:rsidRPr="00F84454">
        <w:rPr>
          <w:rFonts w:ascii="Arial Narrow" w:hAnsi="Arial Narrow"/>
          <w:b/>
        </w:rPr>
        <w:t xml:space="preserve">:  </w:t>
      </w:r>
    </w:p>
    <w:p w:rsidR="001335F4" w:rsidRPr="00F84454" w:rsidRDefault="001335F4" w:rsidP="002F23FB">
      <w:pPr>
        <w:spacing w:before="120" w:after="120" w:line="240" w:lineRule="auto"/>
        <w:rPr>
          <w:rFonts w:ascii="Arial Narrow" w:hAnsi="Arial Narrow"/>
          <w:b/>
        </w:rPr>
      </w:pPr>
      <w:r w:rsidRPr="00F84454">
        <w:rPr>
          <w:rFonts w:ascii="Arial Narrow" w:hAnsi="Arial Narrow"/>
        </w:rPr>
        <w:t>Pursuant to Florida law, the Department, as a VRA, is required to ensure that contractors are implementing the N</w:t>
      </w:r>
      <w:r w:rsidR="00B41C32" w:rsidRPr="00F84454">
        <w:rPr>
          <w:rFonts w:ascii="Arial Narrow" w:hAnsi="Arial Narrow"/>
        </w:rPr>
        <w:t>VR</w:t>
      </w:r>
      <w:r w:rsidRPr="00F84454">
        <w:rPr>
          <w:rFonts w:ascii="Arial Narrow" w:hAnsi="Arial Narrow"/>
        </w:rPr>
        <w:t>A.</w:t>
      </w:r>
      <w:r w:rsidRPr="00F84454">
        <w:rPr>
          <w:rStyle w:val="FootnoteReference"/>
          <w:rFonts w:ascii="Arial Narrow" w:hAnsi="Arial Narrow"/>
        </w:rPr>
        <w:footnoteReference w:id="4"/>
      </w:r>
      <w:r w:rsidRPr="00F84454">
        <w:rPr>
          <w:rFonts w:ascii="Arial Narrow" w:hAnsi="Arial Narrow"/>
        </w:rPr>
        <w:t xml:space="preserve">  Because the Department contracts with managing entities </w:t>
      </w:r>
      <w:r w:rsidRPr="00F84454">
        <w:rPr>
          <w:rStyle w:val="FootnoteReference"/>
          <w:rFonts w:ascii="Arial Narrow" w:hAnsi="Arial Narrow"/>
        </w:rPr>
        <w:footnoteReference w:id="5"/>
      </w:r>
      <w:r w:rsidRPr="00F84454">
        <w:rPr>
          <w:rFonts w:ascii="Arial Narrow" w:hAnsi="Arial Narrow"/>
        </w:rPr>
        <w:t xml:space="preserve"> to administer and manage community behavioral health services, this duty is incumbent on each managing entity. This will require:</w:t>
      </w:r>
    </w:p>
    <w:p w:rsidR="001335F4" w:rsidRPr="00F84454" w:rsidRDefault="001335F4" w:rsidP="002F23FB">
      <w:pPr>
        <w:pStyle w:val="ListParagraph"/>
        <w:numPr>
          <w:ilvl w:val="0"/>
          <w:numId w:val="8"/>
        </w:numPr>
        <w:spacing w:before="120" w:after="120" w:line="240" w:lineRule="auto"/>
        <w:contextualSpacing w:val="0"/>
        <w:rPr>
          <w:rFonts w:ascii="Arial Narrow" w:hAnsi="Arial Narrow"/>
        </w:rPr>
      </w:pPr>
      <w:r w:rsidRPr="00F84454">
        <w:rPr>
          <w:rFonts w:ascii="Arial Narrow" w:hAnsi="Arial Narrow"/>
        </w:rPr>
        <w:t xml:space="preserve">Inclusion of </w:t>
      </w:r>
      <w:r w:rsidR="00DA6CD6" w:rsidRPr="00F84454">
        <w:rPr>
          <w:rFonts w:ascii="Arial Narrow" w:hAnsi="Arial Narrow"/>
        </w:rPr>
        <w:t>NVRA provisions</w:t>
      </w:r>
      <w:r w:rsidRPr="00F84454">
        <w:rPr>
          <w:rFonts w:ascii="Arial Narrow" w:hAnsi="Arial Narrow"/>
        </w:rPr>
        <w:t xml:space="preserve"> in each subcontract that serves clients;</w:t>
      </w:r>
    </w:p>
    <w:p w:rsidR="001335F4" w:rsidRPr="00F84454" w:rsidRDefault="001335F4" w:rsidP="002F23FB">
      <w:pPr>
        <w:pStyle w:val="ListParagraph"/>
        <w:numPr>
          <w:ilvl w:val="0"/>
          <w:numId w:val="8"/>
        </w:numPr>
        <w:spacing w:before="120" w:after="120" w:line="240" w:lineRule="auto"/>
        <w:contextualSpacing w:val="0"/>
        <w:rPr>
          <w:rFonts w:ascii="Arial Narrow" w:hAnsi="Arial Narrow"/>
        </w:rPr>
      </w:pPr>
      <w:r w:rsidRPr="00F84454">
        <w:rPr>
          <w:rFonts w:ascii="Arial Narrow" w:hAnsi="Arial Narrow"/>
        </w:rPr>
        <w:t>Quarterly data collection, and reporting to Department</w:t>
      </w:r>
      <w:r w:rsidR="004E69EF" w:rsidRPr="00F84454">
        <w:rPr>
          <w:rFonts w:ascii="Arial Narrow" w:hAnsi="Arial Narrow"/>
        </w:rPr>
        <w:t xml:space="preserve"> contract managers</w:t>
      </w:r>
      <w:r w:rsidRPr="00F84454">
        <w:rPr>
          <w:rFonts w:ascii="Arial Narrow" w:hAnsi="Arial Narrow"/>
        </w:rPr>
        <w:t>; and</w:t>
      </w:r>
    </w:p>
    <w:p w:rsidR="001335F4" w:rsidRPr="00F84454" w:rsidRDefault="001335F4" w:rsidP="002F23FB">
      <w:pPr>
        <w:pStyle w:val="ListParagraph"/>
        <w:numPr>
          <w:ilvl w:val="0"/>
          <w:numId w:val="8"/>
        </w:numPr>
        <w:spacing w:before="120" w:after="120" w:line="240" w:lineRule="auto"/>
        <w:contextualSpacing w:val="0"/>
        <w:rPr>
          <w:rFonts w:ascii="Arial Narrow" w:hAnsi="Arial Narrow"/>
        </w:rPr>
      </w:pPr>
      <w:r w:rsidRPr="00F84454">
        <w:rPr>
          <w:rFonts w:ascii="Arial Narrow" w:hAnsi="Arial Narrow"/>
        </w:rPr>
        <w:t xml:space="preserve">Oversight of the implementation of the NRVA by subcontracted providers. </w:t>
      </w:r>
    </w:p>
    <w:p w:rsidR="0099141D" w:rsidRDefault="001335F4" w:rsidP="002F23FB">
      <w:pPr>
        <w:spacing w:before="120" w:after="120" w:line="240" w:lineRule="auto"/>
        <w:rPr>
          <w:rFonts w:ascii="Arial Narrow" w:hAnsi="Arial Narrow"/>
          <w:b/>
        </w:rPr>
      </w:pPr>
      <w:r w:rsidRPr="00F84454">
        <w:rPr>
          <w:rFonts w:ascii="Arial Narrow" w:hAnsi="Arial Narrow"/>
          <w:b/>
        </w:rPr>
        <w:t>Process</w:t>
      </w:r>
      <w:r w:rsidR="002F23FB" w:rsidRPr="00F84454">
        <w:rPr>
          <w:rFonts w:ascii="Arial Narrow" w:hAnsi="Arial Narrow"/>
          <w:b/>
        </w:rPr>
        <w:t xml:space="preserve">: </w:t>
      </w:r>
    </w:p>
    <w:p w:rsidR="001335F4" w:rsidRPr="00F84454" w:rsidRDefault="001335F4" w:rsidP="002F23FB">
      <w:pPr>
        <w:spacing w:before="120" w:after="120" w:line="240" w:lineRule="auto"/>
        <w:rPr>
          <w:rFonts w:ascii="Arial Narrow" w:hAnsi="Arial Narrow"/>
        </w:rPr>
      </w:pPr>
      <w:r w:rsidRPr="00F84454">
        <w:rPr>
          <w:rFonts w:ascii="Arial Narrow" w:hAnsi="Arial Narrow"/>
        </w:rPr>
        <w:t xml:space="preserve">To implement the </w:t>
      </w:r>
      <w:r w:rsidR="000468E0" w:rsidRPr="00F84454">
        <w:rPr>
          <w:rFonts w:ascii="Arial Narrow" w:hAnsi="Arial Narrow"/>
        </w:rPr>
        <w:t>NVRA</w:t>
      </w:r>
      <w:r w:rsidRPr="00F84454">
        <w:rPr>
          <w:rFonts w:ascii="Arial Narrow" w:hAnsi="Arial Narrow"/>
        </w:rPr>
        <w:t xml:space="preserve">, the managing entity will: </w:t>
      </w:r>
    </w:p>
    <w:p w:rsidR="001335F4" w:rsidRPr="00F84454" w:rsidRDefault="004E69EF" w:rsidP="002F23FB">
      <w:pPr>
        <w:pStyle w:val="ListParagraph"/>
        <w:widowControl w:val="0"/>
        <w:numPr>
          <w:ilvl w:val="0"/>
          <w:numId w:val="9"/>
        </w:numPr>
        <w:spacing w:before="120" w:after="120" w:line="240" w:lineRule="auto"/>
        <w:contextualSpacing w:val="0"/>
        <w:rPr>
          <w:rFonts w:ascii="Arial Narrow" w:hAnsi="Arial Narrow"/>
        </w:rPr>
      </w:pPr>
      <w:r w:rsidRPr="00F84454">
        <w:rPr>
          <w:rFonts w:ascii="Arial Narrow" w:hAnsi="Arial Narrow"/>
        </w:rPr>
        <w:t>Ensure that s</w:t>
      </w:r>
      <w:r w:rsidR="001335F4" w:rsidRPr="00F84454">
        <w:rPr>
          <w:rFonts w:ascii="Arial Narrow" w:hAnsi="Arial Narrow"/>
        </w:rPr>
        <w:t>ubcontracts with providers that serve clients should be updated to include the N</w:t>
      </w:r>
      <w:r w:rsidR="00B41C32" w:rsidRPr="00F84454">
        <w:rPr>
          <w:rFonts w:ascii="Arial Narrow" w:hAnsi="Arial Narrow"/>
        </w:rPr>
        <w:t>VR</w:t>
      </w:r>
      <w:r w:rsidR="001335F4" w:rsidRPr="00F84454">
        <w:rPr>
          <w:rFonts w:ascii="Arial Narrow" w:hAnsi="Arial Narrow"/>
        </w:rPr>
        <w:t>A implementation requirement.  The contract amendment must address quarterly activity reports, completed by the provider, to be collected by the managing entity. This will incorporate by reference, the following forms:</w:t>
      </w:r>
    </w:p>
    <w:p w:rsidR="001335F4" w:rsidRDefault="001335F4" w:rsidP="005536A8">
      <w:pPr>
        <w:pStyle w:val="ListParagraph"/>
        <w:widowControl w:val="0"/>
        <w:numPr>
          <w:ilvl w:val="0"/>
          <w:numId w:val="10"/>
        </w:numPr>
        <w:spacing w:before="120" w:after="120" w:line="240" w:lineRule="auto"/>
        <w:contextualSpacing w:val="0"/>
        <w:rPr>
          <w:rFonts w:ascii="Arial Narrow" w:hAnsi="Arial Narrow"/>
        </w:rPr>
      </w:pPr>
      <w:r w:rsidRPr="005536A8">
        <w:rPr>
          <w:rFonts w:ascii="Arial Narrow" w:hAnsi="Arial Narrow"/>
        </w:rPr>
        <w:t>DS-DE77</w:t>
      </w:r>
      <w:r w:rsidR="005536A8">
        <w:rPr>
          <w:rFonts w:ascii="Arial Narrow" w:hAnsi="Arial Narrow"/>
        </w:rPr>
        <w:t>, the Voter Registration Agency Preference Form and Application, used</w:t>
      </w:r>
      <w:r w:rsidRPr="005536A8">
        <w:rPr>
          <w:rFonts w:ascii="Arial Narrow" w:hAnsi="Arial Narrow"/>
        </w:rPr>
        <w:t xml:space="preserve"> to comply with the statutory requirements at admission and change of address</w:t>
      </w:r>
      <w:r w:rsidR="005536A8">
        <w:rPr>
          <w:rFonts w:ascii="Arial Narrow" w:hAnsi="Arial Narrow"/>
        </w:rPr>
        <w:t>;</w:t>
      </w:r>
    </w:p>
    <w:p w:rsidR="005536A8" w:rsidRPr="005536A8" w:rsidRDefault="005536A8" w:rsidP="005536A8">
      <w:pPr>
        <w:pStyle w:val="ListParagraph"/>
        <w:widowControl w:val="0"/>
        <w:numPr>
          <w:ilvl w:val="0"/>
          <w:numId w:val="10"/>
        </w:numPr>
        <w:spacing w:before="120" w:after="120" w:line="240" w:lineRule="auto"/>
        <w:contextualSpacing w:val="0"/>
        <w:rPr>
          <w:rFonts w:ascii="Arial Narrow" w:hAnsi="Arial Narrow"/>
        </w:rPr>
      </w:pPr>
      <w:r>
        <w:rPr>
          <w:rFonts w:ascii="Arial Narrow" w:hAnsi="Arial Narrow"/>
        </w:rPr>
        <w:t>DS-DE 18, the NVRA Complaint Form, for individuals to submit to the Department of State</w:t>
      </w:r>
    </w:p>
    <w:p w:rsidR="001335F4" w:rsidRDefault="005536A8" w:rsidP="002F23FB">
      <w:pPr>
        <w:pStyle w:val="ListParagraph"/>
        <w:widowControl w:val="0"/>
        <w:numPr>
          <w:ilvl w:val="0"/>
          <w:numId w:val="10"/>
        </w:numPr>
        <w:spacing w:before="120" w:after="120" w:line="240" w:lineRule="auto"/>
        <w:contextualSpacing w:val="0"/>
        <w:rPr>
          <w:rFonts w:ascii="Arial Narrow" w:hAnsi="Arial Narrow"/>
        </w:rPr>
      </w:pPr>
      <w:r>
        <w:rPr>
          <w:rFonts w:ascii="Arial Narrow" w:hAnsi="Arial Narrow"/>
        </w:rPr>
        <w:t xml:space="preserve">DS-DE131, the Voter Registration Agency Quarterly Activities Report Form, to comply with </w:t>
      </w:r>
      <w:r w:rsidR="00DA6CD6">
        <w:rPr>
          <w:rFonts w:ascii="Arial Narrow" w:hAnsi="Arial Narrow"/>
        </w:rPr>
        <w:t xml:space="preserve">the </w:t>
      </w:r>
      <w:r w:rsidR="00DA6CD6" w:rsidRPr="00F84454">
        <w:rPr>
          <w:rFonts w:ascii="Arial Narrow" w:hAnsi="Arial Narrow"/>
        </w:rPr>
        <w:t>calendar</w:t>
      </w:r>
      <w:r w:rsidR="001335F4" w:rsidRPr="00F84454">
        <w:rPr>
          <w:rFonts w:ascii="Arial Narrow" w:hAnsi="Arial Narrow"/>
        </w:rPr>
        <w:t xml:space="preserve"> year quarterly reporting requirement </w:t>
      </w:r>
      <w:r>
        <w:rPr>
          <w:rFonts w:ascii="Arial Narrow" w:hAnsi="Arial Narrow"/>
        </w:rPr>
        <w:t>established in rule</w:t>
      </w:r>
      <w:r w:rsidR="001335F4" w:rsidRPr="00F84454">
        <w:rPr>
          <w:rFonts w:ascii="Arial Narrow" w:hAnsi="Arial Narrow"/>
        </w:rPr>
        <w:t>:</w:t>
      </w:r>
      <w:r w:rsidR="001335F4" w:rsidRPr="00F84454">
        <w:rPr>
          <w:rStyle w:val="FootnoteReference"/>
          <w:rFonts w:ascii="Arial Narrow" w:hAnsi="Arial Narrow"/>
        </w:rPr>
        <w:footnoteReference w:id="6"/>
      </w:r>
    </w:p>
    <w:p w:rsidR="001335F4" w:rsidRPr="00F84454" w:rsidRDefault="001335F4" w:rsidP="002F23FB">
      <w:pPr>
        <w:pStyle w:val="ListParagraph"/>
        <w:widowControl w:val="0"/>
        <w:numPr>
          <w:ilvl w:val="0"/>
          <w:numId w:val="9"/>
        </w:numPr>
        <w:spacing w:before="120" w:after="120" w:line="240" w:lineRule="auto"/>
        <w:contextualSpacing w:val="0"/>
        <w:rPr>
          <w:rFonts w:ascii="Arial Narrow" w:hAnsi="Arial Narrow"/>
        </w:rPr>
      </w:pPr>
      <w:r w:rsidRPr="00F84454">
        <w:rPr>
          <w:rFonts w:ascii="Arial Narrow" w:hAnsi="Arial Narrow"/>
        </w:rPr>
        <w:t xml:space="preserve">The managing entity shall report, the aggregate quarterly activities to the appropriate regional </w:t>
      </w:r>
      <w:r w:rsidR="004E69EF" w:rsidRPr="00F84454">
        <w:rPr>
          <w:rFonts w:ascii="Arial Narrow" w:hAnsi="Arial Narrow"/>
        </w:rPr>
        <w:t xml:space="preserve">contract </w:t>
      </w:r>
      <w:r w:rsidR="004E69EF" w:rsidRPr="00F84454">
        <w:rPr>
          <w:rFonts w:ascii="Arial Narrow" w:hAnsi="Arial Narrow"/>
        </w:rPr>
        <w:lastRenderedPageBreak/>
        <w:t>manager</w:t>
      </w:r>
      <w:r w:rsidRPr="00F84454">
        <w:rPr>
          <w:rFonts w:ascii="Arial Narrow" w:hAnsi="Arial Narrow"/>
        </w:rPr>
        <w:t>, on the following schedule:</w:t>
      </w:r>
    </w:p>
    <w:p w:rsidR="001335F4" w:rsidRPr="00F84454" w:rsidRDefault="001335F4" w:rsidP="002F23FB">
      <w:pPr>
        <w:pStyle w:val="ListParagraph"/>
        <w:widowControl w:val="0"/>
        <w:numPr>
          <w:ilvl w:val="1"/>
          <w:numId w:val="9"/>
        </w:numPr>
        <w:spacing w:before="120" w:after="120" w:line="240" w:lineRule="auto"/>
        <w:contextualSpacing w:val="0"/>
        <w:rPr>
          <w:rFonts w:ascii="Arial Narrow" w:hAnsi="Arial Narrow"/>
        </w:rPr>
      </w:pPr>
      <w:r w:rsidRPr="00F84454">
        <w:rPr>
          <w:rFonts w:ascii="Arial Narrow" w:hAnsi="Arial Narrow"/>
        </w:rPr>
        <w:t>First Quarter: April 10. (Jan, Feb, Mar). Department aggregate report due to Department of State – April 15;</w:t>
      </w:r>
    </w:p>
    <w:p w:rsidR="001335F4" w:rsidRPr="00F84454" w:rsidRDefault="001335F4" w:rsidP="002F23FB">
      <w:pPr>
        <w:pStyle w:val="ListParagraph"/>
        <w:widowControl w:val="0"/>
        <w:numPr>
          <w:ilvl w:val="1"/>
          <w:numId w:val="9"/>
        </w:numPr>
        <w:spacing w:before="120" w:after="120" w:line="240" w:lineRule="auto"/>
        <w:contextualSpacing w:val="0"/>
        <w:rPr>
          <w:rFonts w:ascii="Arial Narrow" w:hAnsi="Arial Narrow"/>
        </w:rPr>
      </w:pPr>
      <w:r w:rsidRPr="00F84454">
        <w:rPr>
          <w:rFonts w:ascii="Arial Narrow" w:hAnsi="Arial Narrow"/>
        </w:rPr>
        <w:t>Second Quarter: July 10. (Apr, May, June). Department aggregate report due to Department of State – July 15;</w:t>
      </w:r>
    </w:p>
    <w:p w:rsidR="001335F4" w:rsidRPr="00F84454" w:rsidRDefault="001335F4" w:rsidP="002F23FB">
      <w:pPr>
        <w:pStyle w:val="ListParagraph"/>
        <w:widowControl w:val="0"/>
        <w:numPr>
          <w:ilvl w:val="1"/>
          <w:numId w:val="9"/>
        </w:numPr>
        <w:spacing w:before="120" w:after="120" w:line="240" w:lineRule="auto"/>
        <w:contextualSpacing w:val="0"/>
        <w:rPr>
          <w:rFonts w:ascii="Arial Narrow" w:hAnsi="Arial Narrow"/>
        </w:rPr>
      </w:pPr>
      <w:r w:rsidRPr="00F84454">
        <w:rPr>
          <w:rFonts w:ascii="Arial Narrow" w:hAnsi="Arial Narrow"/>
        </w:rPr>
        <w:t>Third Quarter: October 10. (Jul, Aug, Sept). Department aggregate report due to Department of State – October 15;</w:t>
      </w:r>
    </w:p>
    <w:p w:rsidR="001335F4" w:rsidRPr="00F84454" w:rsidRDefault="001335F4" w:rsidP="002F23FB">
      <w:pPr>
        <w:pStyle w:val="ListParagraph"/>
        <w:widowControl w:val="0"/>
        <w:numPr>
          <w:ilvl w:val="1"/>
          <w:numId w:val="9"/>
        </w:numPr>
        <w:spacing w:before="120" w:after="120" w:line="240" w:lineRule="auto"/>
        <w:contextualSpacing w:val="0"/>
        <w:rPr>
          <w:rFonts w:ascii="Arial Narrow" w:hAnsi="Arial Narrow"/>
        </w:rPr>
      </w:pPr>
      <w:r w:rsidRPr="00F84454">
        <w:rPr>
          <w:rFonts w:ascii="Arial Narrow" w:hAnsi="Arial Narrow"/>
        </w:rPr>
        <w:t>Fourth Quarter: January 10. (Oct, Nov, Dec). Department aggregate report due to Department of State – January 15.</w:t>
      </w:r>
    </w:p>
    <w:p w:rsidR="004E69EF" w:rsidRPr="00F84454" w:rsidRDefault="004E69EF" w:rsidP="002F23FB">
      <w:pPr>
        <w:widowControl w:val="0"/>
        <w:spacing w:before="120" w:after="120" w:line="240" w:lineRule="auto"/>
        <w:rPr>
          <w:rFonts w:ascii="Arial Narrow" w:hAnsi="Arial Narrow"/>
        </w:rPr>
      </w:pPr>
      <w:r w:rsidRPr="00F84454">
        <w:rPr>
          <w:rFonts w:ascii="Arial Narrow" w:hAnsi="Arial Narrow"/>
        </w:rPr>
        <w:t xml:space="preserve">The regional contract manager will transmit the quarterly reports to the Department’s SAMH Voting Registration Coordinator for submission to the Department of State.  </w:t>
      </w:r>
    </w:p>
    <w:p w:rsidR="001335F4" w:rsidRPr="00F84454" w:rsidRDefault="001335F4" w:rsidP="002F23FB">
      <w:pPr>
        <w:widowControl w:val="0"/>
        <w:spacing w:before="120" w:after="120" w:line="240" w:lineRule="auto"/>
        <w:rPr>
          <w:rFonts w:ascii="Arial Narrow" w:hAnsi="Arial Narrow"/>
        </w:rPr>
      </w:pPr>
      <w:r w:rsidRPr="00F84454">
        <w:rPr>
          <w:rFonts w:ascii="Arial Narrow" w:hAnsi="Arial Narrow"/>
        </w:rPr>
        <w:t xml:space="preserve">The Department of State has </w:t>
      </w:r>
      <w:r w:rsidR="005536A8">
        <w:rPr>
          <w:rFonts w:ascii="Arial Narrow" w:hAnsi="Arial Narrow"/>
        </w:rPr>
        <w:t xml:space="preserve">published all form referenced herein, along with </w:t>
      </w:r>
      <w:r w:rsidRPr="00F84454">
        <w:rPr>
          <w:rFonts w:ascii="Arial Narrow" w:hAnsi="Arial Narrow"/>
        </w:rPr>
        <w:t xml:space="preserve">online training </w:t>
      </w:r>
      <w:r w:rsidR="00B5379A" w:rsidRPr="00F84454">
        <w:rPr>
          <w:rFonts w:ascii="Arial Narrow" w:hAnsi="Arial Narrow"/>
        </w:rPr>
        <w:t xml:space="preserve">and additional guidance to implement NVRA </w:t>
      </w:r>
      <w:r w:rsidRPr="00F84454">
        <w:rPr>
          <w:rFonts w:ascii="Arial Narrow" w:hAnsi="Arial Narrow"/>
        </w:rPr>
        <w:t>at:</w:t>
      </w:r>
    </w:p>
    <w:p w:rsidR="0059519D" w:rsidRPr="005536A8" w:rsidRDefault="00784862" w:rsidP="005536A8">
      <w:pPr>
        <w:widowControl w:val="0"/>
        <w:spacing w:before="120" w:after="120" w:line="240" w:lineRule="auto"/>
        <w:ind w:left="360" w:firstLine="720"/>
        <w:rPr>
          <w:rStyle w:val="Hyperlink"/>
          <w:rFonts w:ascii="Arial Narrow" w:hAnsi="Arial Narrow"/>
        </w:rPr>
      </w:pPr>
      <w:hyperlink r:id="rId8" w:history="1">
        <w:r w:rsidR="005536A8" w:rsidRPr="005536A8">
          <w:rPr>
            <w:rStyle w:val="Hyperlink"/>
            <w:rFonts w:ascii="Arial Narrow" w:hAnsi="Arial Narrow"/>
          </w:rPr>
          <w:t>http://dos.myflorida.com/elections/for-voters/voter-registration/national-voter-registration-act/</w:t>
        </w:r>
      </w:hyperlink>
    </w:p>
    <w:p w:rsidR="005536A8" w:rsidRPr="00F84454" w:rsidRDefault="005536A8" w:rsidP="005536A8">
      <w:pPr>
        <w:widowControl w:val="0"/>
        <w:spacing w:before="120" w:after="120" w:line="240" w:lineRule="auto"/>
        <w:rPr>
          <w:rFonts w:ascii="Arial Narrow" w:hAnsi="Arial Narrow"/>
        </w:rPr>
      </w:pPr>
    </w:p>
    <w:sectPr w:rsidR="005536A8" w:rsidRPr="00F84454" w:rsidSect="002F23FB">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105" w:rsidRDefault="00101105" w:rsidP="0059519D">
      <w:pPr>
        <w:spacing w:after="0" w:line="240" w:lineRule="auto"/>
      </w:pPr>
      <w:r>
        <w:separator/>
      </w:r>
    </w:p>
  </w:endnote>
  <w:endnote w:type="continuationSeparator" w:id="0">
    <w:p w:rsidR="00101105" w:rsidRDefault="00101105" w:rsidP="0059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7B7" w:rsidRPr="00F84454" w:rsidRDefault="0006340C" w:rsidP="002F23FB">
    <w:pPr>
      <w:pStyle w:val="Footer"/>
      <w:jc w:val="center"/>
      <w:rPr>
        <w:rFonts w:ascii="Arial Narrow" w:hAnsi="Arial Narrow"/>
      </w:rPr>
    </w:pPr>
    <w:r w:rsidRPr="00F84454">
      <w:rPr>
        <w:rFonts w:ascii="Arial Narrow" w:eastAsia="Calibri" w:hAnsi="Arial Narrow" w:cs="Times New Roman"/>
        <w:sz w:val="20"/>
        <w:szCs w:val="20"/>
      </w:rPr>
      <w:fldChar w:fldCharType="begin"/>
    </w:r>
    <w:r w:rsidR="001C0796" w:rsidRPr="00F84454">
      <w:rPr>
        <w:rFonts w:ascii="Arial Narrow" w:eastAsia="Calibri" w:hAnsi="Arial Narrow" w:cs="Times New Roman"/>
        <w:sz w:val="20"/>
        <w:szCs w:val="20"/>
      </w:rPr>
      <w:instrText xml:space="preserve"> PAGE   \* MERGEFORMAT </w:instrText>
    </w:r>
    <w:r w:rsidRPr="00F84454">
      <w:rPr>
        <w:rFonts w:ascii="Arial Narrow" w:eastAsia="Calibri" w:hAnsi="Arial Narrow" w:cs="Times New Roman"/>
        <w:sz w:val="20"/>
        <w:szCs w:val="20"/>
      </w:rPr>
      <w:fldChar w:fldCharType="separate"/>
    </w:r>
    <w:r w:rsidR="00784862">
      <w:rPr>
        <w:rFonts w:ascii="Arial Narrow" w:eastAsia="Calibri" w:hAnsi="Arial Narrow" w:cs="Times New Roman"/>
        <w:noProof/>
        <w:sz w:val="20"/>
        <w:szCs w:val="20"/>
      </w:rPr>
      <w:t>2</w:t>
    </w:r>
    <w:r w:rsidRPr="00F84454">
      <w:rPr>
        <w:rFonts w:ascii="Arial Narrow" w:eastAsia="Calibri" w:hAnsi="Arial Narrow" w:cs="Times New Roman"/>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3FB" w:rsidRPr="00F84454" w:rsidRDefault="002F23FB" w:rsidP="002F23FB">
    <w:pPr>
      <w:tabs>
        <w:tab w:val="center" w:pos="4320"/>
        <w:tab w:val="right" w:pos="8640"/>
      </w:tabs>
      <w:spacing w:after="0" w:line="240" w:lineRule="auto"/>
      <w:jc w:val="center"/>
      <w:rPr>
        <w:rFonts w:ascii="Arial Narrow" w:eastAsia="Times New Roman" w:hAnsi="Arial Narrow" w:cs="Times New Roman"/>
      </w:rPr>
    </w:pPr>
    <w:r w:rsidRPr="00F84454">
      <w:rPr>
        <w:rFonts w:ascii="Arial Narrow" w:eastAsia="Times New Roman" w:hAnsi="Arial Narrow" w:cs="Times New Roman"/>
      </w:rPr>
      <w:fldChar w:fldCharType="begin"/>
    </w:r>
    <w:r w:rsidRPr="00F84454">
      <w:rPr>
        <w:rFonts w:ascii="Arial Narrow" w:eastAsia="Times New Roman" w:hAnsi="Arial Narrow" w:cs="Times New Roman"/>
      </w:rPr>
      <w:instrText xml:space="preserve"> PAGE   \* MERGEFORMAT </w:instrText>
    </w:r>
    <w:r w:rsidRPr="00F84454">
      <w:rPr>
        <w:rFonts w:ascii="Arial Narrow" w:eastAsia="Times New Roman" w:hAnsi="Arial Narrow" w:cs="Times New Roman"/>
      </w:rPr>
      <w:fldChar w:fldCharType="separate"/>
    </w:r>
    <w:r w:rsidR="00784862">
      <w:rPr>
        <w:rFonts w:ascii="Arial Narrow" w:eastAsia="Times New Roman" w:hAnsi="Arial Narrow" w:cs="Times New Roman"/>
        <w:noProof/>
      </w:rPr>
      <w:t>1</w:t>
    </w:r>
    <w:r w:rsidRPr="00F84454">
      <w:rPr>
        <w:rFonts w:ascii="Arial Narrow" w:eastAsia="Times New Roman" w:hAnsi="Arial Narrow" w:cs="Times New Roman"/>
      </w:rPr>
      <w:fldChar w:fldCharType="end"/>
    </w:r>
  </w:p>
  <w:p w:rsidR="00102A41" w:rsidRPr="00F84454" w:rsidRDefault="00F84454" w:rsidP="002F23FB">
    <w:pPr>
      <w:tabs>
        <w:tab w:val="center" w:pos="4320"/>
        <w:tab w:val="right" w:pos="8640"/>
      </w:tabs>
      <w:spacing w:after="0" w:line="240" w:lineRule="auto"/>
      <w:jc w:val="right"/>
      <w:rPr>
        <w:rFonts w:ascii="Arial Narrow" w:eastAsia="Times New Roman" w:hAnsi="Arial Narrow" w:cs="Times New Roman"/>
      </w:rPr>
    </w:pPr>
    <w:r>
      <w:rPr>
        <w:rFonts w:ascii="Arial Narrow" w:eastAsia="Times New Roman" w:hAnsi="Arial Narrow" w:cs="Times New Roman"/>
      </w:rPr>
      <w:t>Effective</w:t>
    </w:r>
    <w:r w:rsidR="002F23FB" w:rsidRPr="00F84454">
      <w:rPr>
        <w:rFonts w:ascii="Arial Narrow" w:eastAsia="Times New Roman" w:hAnsi="Arial Narrow" w:cs="Times New Roman"/>
      </w:rPr>
      <w:t xml:space="preserve">: </w:t>
    </w:r>
    <w:r w:rsidR="00CD76BC">
      <w:rPr>
        <w:rFonts w:ascii="Arial Narrow" w:eastAsia="Times New Roman" w:hAnsi="Arial Narrow" w:cs="Times New Roman"/>
      </w:rPr>
      <w:t xml:space="preserve">January </w:t>
    </w:r>
    <w:r w:rsidR="0024266A">
      <w:rPr>
        <w:rFonts w:ascii="Arial Narrow" w:eastAsia="Times New Roman" w:hAnsi="Arial Narrow" w:cs="Times New Roman"/>
      </w:rPr>
      <w:t>18</w:t>
    </w:r>
    <w:r w:rsidR="00CD76BC">
      <w:rPr>
        <w:rFonts w:ascii="Arial Narrow" w:eastAsia="Times New Roman" w:hAnsi="Arial Narrow" w:cs="Times New Roman"/>
      </w:rPr>
      <w:t>,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105" w:rsidRDefault="00101105" w:rsidP="0059519D">
      <w:pPr>
        <w:spacing w:after="0" w:line="240" w:lineRule="auto"/>
      </w:pPr>
      <w:r>
        <w:separator/>
      </w:r>
    </w:p>
  </w:footnote>
  <w:footnote w:type="continuationSeparator" w:id="0">
    <w:p w:rsidR="00101105" w:rsidRDefault="00101105" w:rsidP="0059519D">
      <w:pPr>
        <w:spacing w:after="0" w:line="240" w:lineRule="auto"/>
      </w:pPr>
      <w:r>
        <w:continuationSeparator/>
      </w:r>
    </w:p>
  </w:footnote>
  <w:footnote w:id="1">
    <w:p w:rsidR="001335F4" w:rsidRPr="00F84454" w:rsidRDefault="001335F4" w:rsidP="001335F4">
      <w:pPr>
        <w:pStyle w:val="FootnoteText"/>
        <w:rPr>
          <w:rFonts w:ascii="Arial Narrow" w:hAnsi="Arial Narrow"/>
          <w:sz w:val="16"/>
          <w:szCs w:val="16"/>
        </w:rPr>
      </w:pPr>
      <w:r w:rsidRPr="00F84454">
        <w:rPr>
          <w:rStyle w:val="FootnoteReference"/>
          <w:rFonts w:ascii="Arial Narrow" w:hAnsi="Arial Narrow"/>
          <w:sz w:val="16"/>
          <w:szCs w:val="16"/>
        </w:rPr>
        <w:footnoteRef/>
      </w:r>
      <w:r w:rsidRPr="00F84454">
        <w:rPr>
          <w:rFonts w:ascii="Arial Narrow" w:hAnsi="Arial Narrow"/>
          <w:sz w:val="16"/>
          <w:szCs w:val="16"/>
        </w:rPr>
        <w:t xml:space="preserve"> Enacted by the National Voter Registration Act of 1993, Pub. L. 103-31 (1993), and codified at 42 U.S.C. s. 1973gg., </w:t>
      </w:r>
      <w:r w:rsidRPr="00F84454">
        <w:rPr>
          <w:rFonts w:ascii="Arial Narrow" w:hAnsi="Arial Narrow"/>
          <w:i/>
          <w:sz w:val="16"/>
          <w:szCs w:val="16"/>
        </w:rPr>
        <w:t xml:space="preserve">et. seq.  </w:t>
      </w:r>
    </w:p>
  </w:footnote>
  <w:footnote w:id="2">
    <w:p w:rsidR="001335F4" w:rsidRPr="00F84454" w:rsidRDefault="001335F4" w:rsidP="001335F4">
      <w:pPr>
        <w:pStyle w:val="FootnoteText"/>
        <w:rPr>
          <w:rFonts w:ascii="Arial Narrow" w:hAnsi="Arial Narrow"/>
          <w:sz w:val="16"/>
          <w:szCs w:val="16"/>
        </w:rPr>
      </w:pPr>
      <w:r w:rsidRPr="00F84454">
        <w:rPr>
          <w:rStyle w:val="FootnoteReference"/>
          <w:rFonts w:ascii="Arial Narrow" w:hAnsi="Arial Narrow"/>
          <w:sz w:val="16"/>
          <w:szCs w:val="16"/>
        </w:rPr>
        <w:footnoteRef/>
      </w:r>
      <w:r w:rsidRPr="00F84454">
        <w:rPr>
          <w:rFonts w:ascii="Arial Narrow" w:hAnsi="Arial Narrow"/>
          <w:sz w:val="16"/>
          <w:szCs w:val="16"/>
        </w:rPr>
        <w:t xml:space="preserve"> Statute defines a Voter Registration Agency (VRA), as any office that provides public assistance, any office that serves persons with disabilities, any center for independent living, or any public library. s. 97.021(41), F.S. Pursuant to the Americans with Disabilities Act of 1993 (ADA), disability is defined as:</w:t>
      </w:r>
    </w:p>
    <w:p w:rsidR="001335F4" w:rsidRPr="00F84454" w:rsidRDefault="001335F4" w:rsidP="001335F4">
      <w:pPr>
        <w:pStyle w:val="FootnoteText"/>
        <w:ind w:left="720"/>
        <w:rPr>
          <w:rFonts w:ascii="Arial Narrow" w:hAnsi="Arial Narrow"/>
          <w:sz w:val="16"/>
          <w:szCs w:val="16"/>
        </w:rPr>
      </w:pPr>
      <w:r w:rsidRPr="00F84454">
        <w:rPr>
          <w:rFonts w:ascii="Arial Narrow" w:hAnsi="Arial Narrow"/>
          <w:sz w:val="16"/>
          <w:szCs w:val="16"/>
        </w:rPr>
        <w:t xml:space="preserve">(A) A physical or mental impairment that substantially limits one or more of the major life activities of such individual; </w:t>
      </w:r>
    </w:p>
    <w:p w:rsidR="001335F4" w:rsidRPr="00F84454" w:rsidRDefault="001335F4" w:rsidP="001335F4">
      <w:pPr>
        <w:pStyle w:val="FootnoteText"/>
        <w:ind w:firstLine="720"/>
        <w:rPr>
          <w:rFonts w:ascii="Arial Narrow" w:hAnsi="Arial Narrow"/>
          <w:sz w:val="16"/>
          <w:szCs w:val="16"/>
        </w:rPr>
      </w:pPr>
      <w:r w:rsidRPr="00F84454">
        <w:rPr>
          <w:rFonts w:ascii="Arial Narrow" w:hAnsi="Arial Narrow"/>
          <w:sz w:val="16"/>
          <w:szCs w:val="16"/>
        </w:rPr>
        <w:t xml:space="preserve">(B) A record of such impairment; or </w:t>
      </w:r>
    </w:p>
    <w:p w:rsidR="001335F4" w:rsidRPr="00F84454" w:rsidRDefault="001335F4" w:rsidP="001335F4">
      <w:pPr>
        <w:pStyle w:val="FootnoteText"/>
        <w:ind w:firstLine="720"/>
        <w:rPr>
          <w:rFonts w:ascii="Arial Narrow" w:hAnsi="Arial Narrow"/>
          <w:sz w:val="16"/>
          <w:szCs w:val="16"/>
        </w:rPr>
      </w:pPr>
      <w:r w:rsidRPr="00F84454">
        <w:rPr>
          <w:rFonts w:ascii="Arial Narrow" w:hAnsi="Arial Narrow"/>
          <w:sz w:val="16"/>
          <w:szCs w:val="16"/>
        </w:rPr>
        <w:t>(C) Being regarded as having such an impairment. See, 42 U.S.C. s. 3602(h).</w:t>
      </w:r>
    </w:p>
    <w:p w:rsidR="001335F4" w:rsidRPr="00F84454" w:rsidRDefault="001335F4" w:rsidP="001335F4">
      <w:pPr>
        <w:pStyle w:val="FootnoteText"/>
        <w:rPr>
          <w:rFonts w:ascii="Arial Narrow" w:hAnsi="Arial Narrow"/>
          <w:sz w:val="16"/>
          <w:szCs w:val="16"/>
        </w:rPr>
      </w:pPr>
      <w:r w:rsidRPr="00F84454">
        <w:rPr>
          <w:rFonts w:ascii="Arial Narrow" w:hAnsi="Arial Narrow"/>
          <w:sz w:val="16"/>
          <w:szCs w:val="16"/>
        </w:rPr>
        <w:t xml:space="preserve">Further, recovery from a substance abuse disorder is considered a substantially limiting impairment. However, 28 C.F.R. s. 35.131, limits the extension of non-discriminatory practice to a person who may continue to use illicit substances. This does not include alcohol.  </w:t>
      </w:r>
    </w:p>
  </w:footnote>
  <w:footnote w:id="3">
    <w:p w:rsidR="001335F4" w:rsidRPr="00F84454" w:rsidRDefault="001335F4" w:rsidP="001335F4">
      <w:pPr>
        <w:pStyle w:val="FootnoteText"/>
        <w:rPr>
          <w:rFonts w:ascii="Arial Narrow" w:hAnsi="Arial Narrow"/>
          <w:sz w:val="16"/>
          <w:szCs w:val="16"/>
        </w:rPr>
      </w:pPr>
      <w:r w:rsidRPr="00F84454">
        <w:rPr>
          <w:rStyle w:val="FootnoteReference"/>
          <w:rFonts w:ascii="Arial Narrow" w:hAnsi="Arial Narrow"/>
          <w:sz w:val="16"/>
          <w:szCs w:val="16"/>
        </w:rPr>
        <w:footnoteRef/>
      </w:r>
      <w:r w:rsidRPr="00F84454">
        <w:rPr>
          <w:rFonts w:ascii="Arial Narrow" w:hAnsi="Arial Narrow"/>
          <w:sz w:val="16"/>
          <w:szCs w:val="16"/>
        </w:rPr>
        <w:t xml:space="preserve"> Section 97.058(1), F.S.  </w:t>
      </w:r>
    </w:p>
  </w:footnote>
  <w:footnote w:id="4">
    <w:p w:rsidR="001335F4" w:rsidRPr="00F84454" w:rsidRDefault="001335F4" w:rsidP="001335F4">
      <w:pPr>
        <w:pStyle w:val="FootnoteText"/>
        <w:rPr>
          <w:rFonts w:ascii="Arial Narrow" w:hAnsi="Arial Narrow"/>
          <w:sz w:val="16"/>
          <w:szCs w:val="16"/>
        </w:rPr>
      </w:pPr>
      <w:r w:rsidRPr="00F84454">
        <w:rPr>
          <w:rStyle w:val="FootnoteReference"/>
          <w:rFonts w:ascii="Arial Narrow" w:hAnsi="Arial Narrow"/>
          <w:sz w:val="16"/>
          <w:szCs w:val="16"/>
        </w:rPr>
        <w:footnoteRef/>
      </w:r>
      <w:r w:rsidRPr="00F84454">
        <w:rPr>
          <w:rFonts w:ascii="Arial Narrow" w:hAnsi="Arial Narrow"/>
          <w:sz w:val="16"/>
          <w:szCs w:val="16"/>
        </w:rPr>
        <w:t xml:space="preserve"> Section 97.058(10), F.S. Note, this section of statute requires that private providers that are also voter registration agencies, pursuant to s 97.021, F.S., are contracted to comply with the NRVA. </w:t>
      </w:r>
      <w:r w:rsidRPr="00F84454">
        <w:rPr>
          <w:rFonts w:ascii="Arial Narrow" w:hAnsi="Arial Narrow"/>
          <w:i/>
          <w:sz w:val="16"/>
          <w:szCs w:val="16"/>
        </w:rPr>
        <w:t xml:space="preserve">See supra, </w:t>
      </w:r>
      <w:r w:rsidRPr="00F84454">
        <w:rPr>
          <w:rFonts w:ascii="Arial Narrow" w:hAnsi="Arial Narrow"/>
          <w:sz w:val="16"/>
          <w:szCs w:val="16"/>
        </w:rPr>
        <w:t xml:space="preserve">note 2.   </w:t>
      </w:r>
    </w:p>
  </w:footnote>
  <w:footnote w:id="5">
    <w:p w:rsidR="00B6695F" w:rsidRPr="00F84454" w:rsidRDefault="001335F4" w:rsidP="001335F4">
      <w:pPr>
        <w:pStyle w:val="FootnoteText"/>
        <w:rPr>
          <w:rFonts w:ascii="Arial Narrow" w:hAnsi="Arial Narrow"/>
          <w:sz w:val="16"/>
          <w:szCs w:val="16"/>
        </w:rPr>
      </w:pPr>
      <w:r w:rsidRPr="00F84454">
        <w:rPr>
          <w:rStyle w:val="FootnoteReference"/>
          <w:rFonts w:ascii="Arial Narrow" w:hAnsi="Arial Narrow"/>
          <w:sz w:val="16"/>
          <w:szCs w:val="16"/>
        </w:rPr>
        <w:footnoteRef/>
      </w:r>
      <w:r w:rsidRPr="00F84454">
        <w:rPr>
          <w:rFonts w:ascii="Arial Narrow" w:hAnsi="Arial Narrow"/>
          <w:sz w:val="16"/>
          <w:szCs w:val="16"/>
        </w:rPr>
        <w:t xml:space="preserve"> Defined pursuant to s. 394.9082, F.S.</w:t>
      </w:r>
    </w:p>
  </w:footnote>
  <w:footnote w:id="6">
    <w:p w:rsidR="001335F4" w:rsidRPr="00F84454" w:rsidRDefault="001335F4" w:rsidP="001335F4">
      <w:pPr>
        <w:pStyle w:val="FootnoteText"/>
        <w:rPr>
          <w:rFonts w:ascii="Arial Narrow" w:hAnsi="Arial Narrow"/>
          <w:i/>
          <w:sz w:val="16"/>
          <w:szCs w:val="16"/>
        </w:rPr>
      </w:pPr>
      <w:r w:rsidRPr="00F84454">
        <w:rPr>
          <w:rStyle w:val="FootnoteReference"/>
          <w:rFonts w:ascii="Arial Narrow" w:hAnsi="Arial Narrow"/>
          <w:sz w:val="16"/>
          <w:szCs w:val="16"/>
        </w:rPr>
        <w:footnoteRef/>
      </w:r>
      <w:r w:rsidRPr="00F84454">
        <w:rPr>
          <w:rFonts w:ascii="Arial Narrow" w:hAnsi="Arial Narrow"/>
          <w:sz w:val="16"/>
          <w:szCs w:val="16"/>
        </w:rPr>
        <w:t xml:space="preserve"> </w:t>
      </w:r>
      <w:r w:rsidRPr="00F84454">
        <w:rPr>
          <w:rFonts w:ascii="Arial Narrow" w:hAnsi="Arial Narrow"/>
          <w:i/>
          <w:sz w:val="16"/>
          <w:szCs w:val="16"/>
        </w:rPr>
        <w:t xml:space="preserve">Id.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A41" w:rsidRPr="00F84454" w:rsidRDefault="002F23FB" w:rsidP="002F23FB">
    <w:pPr>
      <w:pBdr>
        <w:bottom w:val="single" w:sz="4" w:space="1" w:color="auto"/>
      </w:pBdr>
      <w:tabs>
        <w:tab w:val="center" w:pos="4320"/>
        <w:tab w:val="right" w:pos="9360"/>
      </w:tabs>
      <w:spacing w:after="0" w:line="240" w:lineRule="auto"/>
      <w:rPr>
        <w:rFonts w:ascii="Arial Narrow" w:eastAsia="Times New Roman" w:hAnsi="Arial Narrow" w:cs="Arial"/>
        <w:sz w:val="24"/>
        <w:szCs w:val="24"/>
      </w:rPr>
    </w:pPr>
    <w:r w:rsidRPr="00F84454">
      <w:rPr>
        <w:rFonts w:ascii="Arial Narrow" w:eastAsia="Times New Roman" w:hAnsi="Arial Narrow" w:cs="Times New Roman"/>
        <w:b/>
        <w:bCs/>
        <w:noProof/>
      </w:rPr>
      <w:drawing>
        <wp:anchor distT="0" distB="0" distL="114300" distR="114300" simplePos="0" relativeHeight="251659264" behindDoc="1" locked="0" layoutInCell="1" allowOverlap="1" wp14:anchorId="75A86A77" wp14:editId="59095AE1">
          <wp:simplePos x="0" y="0"/>
          <wp:positionH relativeFrom="column">
            <wp:posOffset>3909060</wp:posOffset>
          </wp:positionH>
          <wp:positionV relativeFrom="paragraph">
            <wp:posOffset>-144780</wp:posOffset>
          </wp:positionV>
          <wp:extent cx="1905000" cy="502920"/>
          <wp:effectExtent l="0" t="0" r="0" b="0"/>
          <wp:wrapNone/>
          <wp:docPr id="2" name="Picture 2"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4454">
      <w:rPr>
        <w:rFonts w:ascii="Arial Narrow" w:eastAsia="Times New Roman" w:hAnsi="Arial Narrow" w:cs="Arial"/>
        <w:sz w:val="24"/>
        <w:szCs w:val="24"/>
      </w:rPr>
      <w:t xml:space="preserve">Program Guidance for Managing Entity Contracts </w:t>
    </w:r>
    <w:r w:rsidRPr="00F84454">
      <w:rPr>
        <w:rFonts w:ascii="Arial Narrow" w:eastAsia="Times New Roman" w:hAnsi="Arial Narrow" w:cs="Arial"/>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F7FB1"/>
    <w:multiLevelType w:val="hybridMultilevel"/>
    <w:tmpl w:val="BAA002D8"/>
    <w:lvl w:ilvl="0" w:tplc="FFFFFFFF">
      <w:start w:val="1"/>
      <w:numFmt w:val="bullet"/>
      <w:lvlText w:val=""/>
      <w:lvlJc w:val="left"/>
      <w:pPr>
        <w:tabs>
          <w:tab w:val="num" w:pos="810"/>
        </w:tabs>
        <w:ind w:left="810" w:hanging="360"/>
      </w:pPr>
      <w:rPr>
        <w:rFonts w:ascii="Wingdings" w:hAnsi="Wingdings" w:hint="default"/>
      </w:rPr>
    </w:lvl>
    <w:lvl w:ilvl="1" w:tplc="04090005">
      <w:start w:val="1"/>
      <w:numFmt w:val="bullet"/>
      <w:lvlText w:val=""/>
      <w:lvlJc w:val="left"/>
      <w:pPr>
        <w:tabs>
          <w:tab w:val="num" w:pos="1512"/>
        </w:tabs>
        <w:ind w:left="1512" w:hanging="360"/>
      </w:pPr>
      <w:rPr>
        <w:rFonts w:ascii="Wingdings" w:hAnsi="Wingdings" w:hint="default"/>
      </w:rPr>
    </w:lvl>
    <w:lvl w:ilvl="2" w:tplc="FFFFFFFF" w:tentative="1">
      <w:start w:val="1"/>
      <w:numFmt w:val="bullet"/>
      <w:lvlText w:val=""/>
      <w:lvlJc w:val="left"/>
      <w:pPr>
        <w:tabs>
          <w:tab w:val="num" w:pos="2232"/>
        </w:tabs>
        <w:ind w:left="2232" w:hanging="360"/>
      </w:pPr>
      <w:rPr>
        <w:rFonts w:ascii="Wingdings" w:hAnsi="Wingdings" w:hint="default"/>
      </w:rPr>
    </w:lvl>
    <w:lvl w:ilvl="3" w:tplc="FFFFFFFF" w:tentative="1">
      <w:start w:val="1"/>
      <w:numFmt w:val="bullet"/>
      <w:lvlText w:val=""/>
      <w:lvlJc w:val="left"/>
      <w:pPr>
        <w:tabs>
          <w:tab w:val="num" w:pos="2952"/>
        </w:tabs>
        <w:ind w:left="2952" w:hanging="360"/>
      </w:pPr>
      <w:rPr>
        <w:rFonts w:ascii="Symbol" w:hAnsi="Symbol" w:hint="default"/>
      </w:rPr>
    </w:lvl>
    <w:lvl w:ilvl="4" w:tplc="FFFFFFFF" w:tentative="1">
      <w:start w:val="1"/>
      <w:numFmt w:val="bullet"/>
      <w:lvlText w:val="o"/>
      <w:lvlJc w:val="left"/>
      <w:pPr>
        <w:tabs>
          <w:tab w:val="num" w:pos="3672"/>
        </w:tabs>
        <w:ind w:left="3672" w:hanging="360"/>
      </w:pPr>
      <w:rPr>
        <w:rFonts w:ascii="Courier New" w:hAnsi="Courier New" w:hint="default"/>
      </w:rPr>
    </w:lvl>
    <w:lvl w:ilvl="5" w:tplc="FFFFFFFF" w:tentative="1">
      <w:start w:val="1"/>
      <w:numFmt w:val="bullet"/>
      <w:lvlText w:val=""/>
      <w:lvlJc w:val="left"/>
      <w:pPr>
        <w:tabs>
          <w:tab w:val="num" w:pos="4392"/>
        </w:tabs>
        <w:ind w:left="4392" w:hanging="360"/>
      </w:pPr>
      <w:rPr>
        <w:rFonts w:ascii="Wingdings" w:hAnsi="Wingdings" w:hint="default"/>
      </w:rPr>
    </w:lvl>
    <w:lvl w:ilvl="6" w:tplc="FFFFFFFF" w:tentative="1">
      <w:start w:val="1"/>
      <w:numFmt w:val="bullet"/>
      <w:lvlText w:val=""/>
      <w:lvlJc w:val="left"/>
      <w:pPr>
        <w:tabs>
          <w:tab w:val="num" w:pos="5112"/>
        </w:tabs>
        <w:ind w:left="5112" w:hanging="360"/>
      </w:pPr>
      <w:rPr>
        <w:rFonts w:ascii="Symbol" w:hAnsi="Symbol" w:hint="default"/>
      </w:rPr>
    </w:lvl>
    <w:lvl w:ilvl="7" w:tplc="FFFFFFFF" w:tentative="1">
      <w:start w:val="1"/>
      <w:numFmt w:val="bullet"/>
      <w:lvlText w:val="o"/>
      <w:lvlJc w:val="left"/>
      <w:pPr>
        <w:tabs>
          <w:tab w:val="num" w:pos="5832"/>
        </w:tabs>
        <w:ind w:left="5832" w:hanging="360"/>
      </w:pPr>
      <w:rPr>
        <w:rFonts w:ascii="Courier New" w:hAnsi="Courier New" w:hint="default"/>
      </w:rPr>
    </w:lvl>
    <w:lvl w:ilvl="8" w:tplc="FFFFFFFF"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106179DB"/>
    <w:multiLevelType w:val="hybridMultilevel"/>
    <w:tmpl w:val="FDFAF1B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F01A68"/>
    <w:multiLevelType w:val="hybridMultilevel"/>
    <w:tmpl w:val="9258CFBC"/>
    <w:lvl w:ilvl="0" w:tplc="E73A5EE6">
      <w:start w:val="1"/>
      <w:numFmt w:val="bullet"/>
      <w:lvlText w:val="◦"/>
      <w:lvlJc w:val="left"/>
      <w:pPr>
        <w:tabs>
          <w:tab w:val="num" w:pos="720"/>
        </w:tabs>
        <w:ind w:left="720" w:hanging="360"/>
      </w:pPr>
      <w:rPr>
        <w:rFonts w:ascii="Verdana" w:hAnsi="Verdana" w:hint="default"/>
      </w:rPr>
    </w:lvl>
    <w:lvl w:ilvl="1" w:tplc="F0349050">
      <w:start w:val="1"/>
      <w:numFmt w:val="bullet"/>
      <w:lvlText w:val="◦"/>
      <w:lvlJc w:val="left"/>
      <w:pPr>
        <w:tabs>
          <w:tab w:val="num" w:pos="1440"/>
        </w:tabs>
        <w:ind w:left="1440" w:hanging="360"/>
      </w:pPr>
      <w:rPr>
        <w:rFonts w:ascii="Verdana" w:hAnsi="Verdana" w:hint="default"/>
      </w:rPr>
    </w:lvl>
    <w:lvl w:ilvl="2" w:tplc="DDCEEA5C" w:tentative="1">
      <w:start w:val="1"/>
      <w:numFmt w:val="bullet"/>
      <w:lvlText w:val="◦"/>
      <w:lvlJc w:val="left"/>
      <w:pPr>
        <w:tabs>
          <w:tab w:val="num" w:pos="2160"/>
        </w:tabs>
        <w:ind w:left="2160" w:hanging="360"/>
      </w:pPr>
      <w:rPr>
        <w:rFonts w:ascii="Verdana" w:hAnsi="Verdana" w:hint="default"/>
      </w:rPr>
    </w:lvl>
    <w:lvl w:ilvl="3" w:tplc="713EC234" w:tentative="1">
      <w:start w:val="1"/>
      <w:numFmt w:val="bullet"/>
      <w:lvlText w:val="◦"/>
      <w:lvlJc w:val="left"/>
      <w:pPr>
        <w:tabs>
          <w:tab w:val="num" w:pos="2880"/>
        </w:tabs>
        <w:ind w:left="2880" w:hanging="360"/>
      </w:pPr>
      <w:rPr>
        <w:rFonts w:ascii="Verdana" w:hAnsi="Verdana" w:hint="default"/>
      </w:rPr>
    </w:lvl>
    <w:lvl w:ilvl="4" w:tplc="D6D68074" w:tentative="1">
      <w:start w:val="1"/>
      <w:numFmt w:val="bullet"/>
      <w:lvlText w:val="◦"/>
      <w:lvlJc w:val="left"/>
      <w:pPr>
        <w:tabs>
          <w:tab w:val="num" w:pos="3600"/>
        </w:tabs>
        <w:ind w:left="3600" w:hanging="360"/>
      </w:pPr>
      <w:rPr>
        <w:rFonts w:ascii="Verdana" w:hAnsi="Verdana" w:hint="default"/>
      </w:rPr>
    </w:lvl>
    <w:lvl w:ilvl="5" w:tplc="4C50EF7A" w:tentative="1">
      <w:start w:val="1"/>
      <w:numFmt w:val="bullet"/>
      <w:lvlText w:val="◦"/>
      <w:lvlJc w:val="left"/>
      <w:pPr>
        <w:tabs>
          <w:tab w:val="num" w:pos="4320"/>
        </w:tabs>
        <w:ind w:left="4320" w:hanging="360"/>
      </w:pPr>
      <w:rPr>
        <w:rFonts w:ascii="Verdana" w:hAnsi="Verdana" w:hint="default"/>
      </w:rPr>
    </w:lvl>
    <w:lvl w:ilvl="6" w:tplc="BB10F5E8" w:tentative="1">
      <w:start w:val="1"/>
      <w:numFmt w:val="bullet"/>
      <w:lvlText w:val="◦"/>
      <w:lvlJc w:val="left"/>
      <w:pPr>
        <w:tabs>
          <w:tab w:val="num" w:pos="5040"/>
        </w:tabs>
        <w:ind w:left="5040" w:hanging="360"/>
      </w:pPr>
      <w:rPr>
        <w:rFonts w:ascii="Verdana" w:hAnsi="Verdana" w:hint="default"/>
      </w:rPr>
    </w:lvl>
    <w:lvl w:ilvl="7" w:tplc="5EEC22C4" w:tentative="1">
      <w:start w:val="1"/>
      <w:numFmt w:val="bullet"/>
      <w:lvlText w:val="◦"/>
      <w:lvlJc w:val="left"/>
      <w:pPr>
        <w:tabs>
          <w:tab w:val="num" w:pos="5760"/>
        </w:tabs>
        <w:ind w:left="5760" w:hanging="360"/>
      </w:pPr>
      <w:rPr>
        <w:rFonts w:ascii="Verdana" w:hAnsi="Verdana" w:hint="default"/>
      </w:rPr>
    </w:lvl>
    <w:lvl w:ilvl="8" w:tplc="137CFB78" w:tentative="1">
      <w:start w:val="1"/>
      <w:numFmt w:val="bullet"/>
      <w:lvlText w:val="◦"/>
      <w:lvlJc w:val="left"/>
      <w:pPr>
        <w:tabs>
          <w:tab w:val="num" w:pos="6480"/>
        </w:tabs>
        <w:ind w:left="6480" w:hanging="360"/>
      </w:pPr>
      <w:rPr>
        <w:rFonts w:ascii="Verdana" w:hAnsi="Verdana" w:hint="default"/>
      </w:rPr>
    </w:lvl>
  </w:abstractNum>
  <w:abstractNum w:abstractNumId="3" w15:restartNumberingAfterBreak="0">
    <w:nsid w:val="2C4756DC"/>
    <w:multiLevelType w:val="hybridMultilevel"/>
    <w:tmpl w:val="116A8A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CB721E"/>
    <w:multiLevelType w:val="hybridMultilevel"/>
    <w:tmpl w:val="BC2A1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B17CD2"/>
    <w:multiLevelType w:val="hybridMultilevel"/>
    <w:tmpl w:val="AEA0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B84B86"/>
    <w:multiLevelType w:val="hybridMultilevel"/>
    <w:tmpl w:val="22767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843EEF"/>
    <w:multiLevelType w:val="hybridMultilevel"/>
    <w:tmpl w:val="5312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EA098D"/>
    <w:multiLevelType w:val="hybridMultilevel"/>
    <w:tmpl w:val="DF78C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DB42A4"/>
    <w:multiLevelType w:val="hybridMultilevel"/>
    <w:tmpl w:val="8156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9"/>
  </w:num>
  <w:num w:numId="4">
    <w:abstractNumId w:val="3"/>
  </w:num>
  <w:num w:numId="5">
    <w:abstractNumId w:val="6"/>
  </w:num>
  <w:num w:numId="6">
    <w:abstractNumId w:val="5"/>
  </w:num>
  <w:num w:numId="7">
    <w:abstractNumId w:val="8"/>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19D"/>
    <w:rsid w:val="00010BC2"/>
    <w:rsid w:val="000468E0"/>
    <w:rsid w:val="0006340C"/>
    <w:rsid w:val="00071BFD"/>
    <w:rsid w:val="00072367"/>
    <w:rsid w:val="00082670"/>
    <w:rsid w:val="000C122D"/>
    <w:rsid w:val="000D40D6"/>
    <w:rsid w:val="00101105"/>
    <w:rsid w:val="001014B2"/>
    <w:rsid w:val="00102A41"/>
    <w:rsid w:val="00126364"/>
    <w:rsid w:val="001335F4"/>
    <w:rsid w:val="00141A86"/>
    <w:rsid w:val="0018291B"/>
    <w:rsid w:val="001859CA"/>
    <w:rsid w:val="001C0796"/>
    <w:rsid w:val="001C67D2"/>
    <w:rsid w:val="001F3B16"/>
    <w:rsid w:val="0024266A"/>
    <w:rsid w:val="00246DD1"/>
    <w:rsid w:val="00264132"/>
    <w:rsid w:val="002648E8"/>
    <w:rsid w:val="00277EF0"/>
    <w:rsid w:val="002B479A"/>
    <w:rsid w:val="002C2151"/>
    <w:rsid w:val="002F23FB"/>
    <w:rsid w:val="00305499"/>
    <w:rsid w:val="00305FDD"/>
    <w:rsid w:val="003141FE"/>
    <w:rsid w:val="00314CD5"/>
    <w:rsid w:val="00340FBE"/>
    <w:rsid w:val="00366D19"/>
    <w:rsid w:val="00385BF2"/>
    <w:rsid w:val="00397A9F"/>
    <w:rsid w:val="003C43E6"/>
    <w:rsid w:val="003F65EA"/>
    <w:rsid w:val="0042703D"/>
    <w:rsid w:val="00445CBB"/>
    <w:rsid w:val="00491BF5"/>
    <w:rsid w:val="00493E7A"/>
    <w:rsid w:val="004A082E"/>
    <w:rsid w:val="004C18A5"/>
    <w:rsid w:val="004E69EF"/>
    <w:rsid w:val="00547BE7"/>
    <w:rsid w:val="00552250"/>
    <w:rsid w:val="005530DC"/>
    <w:rsid w:val="005536A8"/>
    <w:rsid w:val="005627B7"/>
    <w:rsid w:val="00563579"/>
    <w:rsid w:val="005835A5"/>
    <w:rsid w:val="0059519D"/>
    <w:rsid w:val="005C227F"/>
    <w:rsid w:val="00610F6F"/>
    <w:rsid w:val="0063292B"/>
    <w:rsid w:val="00634523"/>
    <w:rsid w:val="00666A07"/>
    <w:rsid w:val="0067768B"/>
    <w:rsid w:val="006A2A02"/>
    <w:rsid w:val="006A35A5"/>
    <w:rsid w:val="006D1ABB"/>
    <w:rsid w:val="006E393F"/>
    <w:rsid w:val="007526DC"/>
    <w:rsid w:val="00784862"/>
    <w:rsid w:val="00802039"/>
    <w:rsid w:val="00823FA0"/>
    <w:rsid w:val="008376B6"/>
    <w:rsid w:val="008439F4"/>
    <w:rsid w:val="008575C5"/>
    <w:rsid w:val="008876FA"/>
    <w:rsid w:val="00895810"/>
    <w:rsid w:val="008C0E60"/>
    <w:rsid w:val="008E1B82"/>
    <w:rsid w:val="008E3A08"/>
    <w:rsid w:val="008E6DBF"/>
    <w:rsid w:val="008F2C88"/>
    <w:rsid w:val="00902516"/>
    <w:rsid w:val="0092643F"/>
    <w:rsid w:val="00944D47"/>
    <w:rsid w:val="00983CC5"/>
    <w:rsid w:val="0098518C"/>
    <w:rsid w:val="0099141D"/>
    <w:rsid w:val="0099347C"/>
    <w:rsid w:val="009C7894"/>
    <w:rsid w:val="009E2B4D"/>
    <w:rsid w:val="009F5223"/>
    <w:rsid w:val="00A27301"/>
    <w:rsid w:val="00A74736"/>
    <w:rsid w:val="00A90047"/>
    <w:rsid w:val="00A9772E"/>
    <w:rsid w:val="00AB4F77"/>
    <w:rsid w:val="00B41C32"/>
    <w:rsid w:val="00B5379A"/>
    <w:rsid w:val="00B6695F"/>
    <w:rsid w:val="00B8119A"/>
    <w:rsid w:val="00B904A1"/>
    <w:rsid w:val="00B96024"/>
    <w:rsid w:val="00B97D3A"/>
    <w:rsid w:val="00BC7B0B"/>
    <w:rsid w:val="00BF4648"/>
    <w:rsid w:val="00C12A75"/>
    <w:rsid w:val="00C22FAC"/>
    <w:rsid w:val="00C7581C"/>
    <w:rsid w:val="00C87901"/>
    <w:rsid w:val="00CA43F4"/>
    <w:rsid w:val="00CD76BC"/>
    <w:rsid w:val="00D227C6"/>
    <w:rsid w:val="00D36BB6"/>
    <w:rsid w:val="00D74ADD"/>
    <w:rsid w:val="00DA3B54"/>
    <w:rsid w:val="00DA6CD6"/>
    <w:rsid w:val="00E13C97"/>
    <w:rsid w:val="00E2663E"/>
    <w:rsid w:val="00E377D0"/>
    <w:rsid w:val="00EB22C0"/>
    <w:rsid w:val="00EC1D54"/>
    <w:rsid w:val="00EE2932"/>
    <w:rsid w:val="00F16739"/>
    <w:rsid w:val="00F629B8"/>
    <w:rsid w:val="00F66636"/>
    <w:rsid w:val="00F84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F3A75C8C-A03D-4F6E-BFBF-FAA790C56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19D"/>
    <w:rPr>
      <w:color w:val="0000FF" w:themeColor="hyperlink"/>
      <w:u w:val="single"/>
    </w:rPr>
  </w:style>
  <w:style w:type="character" w:styleId="FollowedHyperlink">
    <w:name w:val="FollowedHyperlink"/>
    <w:basedOn w:val="DefaultParagraphFont"/>
    <w:uiPriority w:val="99"/>
    <w:semiHidden/>
    <w:unhideWhenUsed/>
    <w:rsid w:val="0059519D"/>
    <w:rPr>
      <w:color w:val="800080" w:themeColor="followedHyperlink"/>
      <w:u w:val="single"/>
    </w:rPr>
  </w:style>
  <w:style w:type="paragraph" w:styleId="Header">
    <w:name w:val="header"/>
    <w:basedOn w:val="Normal"/>
    <w:link w:val="HeaderChar"/>
    <w:uiPriority w:val="99"/>
    <w:unhideWhenUsed/>
    <w:rsid w:val="00595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19D"/>
  </w:style>
  <w:style w:type="paragraph" w:styleId="Footer">
    <w:name w:val="footer"/>
    <w:basedOn w:val="Normal"/>
    <w:link w:val="FooterChar"/>
    <w:uiPriority w:val="99"/>
    <w:unhideWhenUsed/>
    <w:rsid w:val="00595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19D"/>
  </w:style>
  <w:style w:type="paragraph" w:styleId="BalloonText">
    <w:name w:val="Balloon Text"/>
    <w:basedOn w:val="Normal"/>
    <w:link w:val="BalloonTextChar"/>
    <w:uiPriority w:val="99"/>
    <w:semiHidden/>
    <w:unhideWhenUsed/>
    <w:rsid w:val="00595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19D"/>
    <w:rPr>
      <w:rFonts w:ascii="Tahoma" w:hAnsi="Tahoma" w:cs="Tahoma"/>
      <w:sz w:val="16"/>
      <w:szCs w:val="16"/>
    </w:rPr>
  </w:style>
  <w:style w:type="paragraph" w:styleId="PlainText">
    <w:name w:val="Plain Text"/>
    <w:basedOn w:val="Normal"/>
    <w:link w:val="PlainTextChar"/>
    <w:uiPriority w:val="99"/>
    <w:unhideWhenUsed/>
    <w:rsid w:val="00944D47"/>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44D47"/>
    <w:rPr>
      <w:rFonts w:ascii="Consolas" w:eastAsia="Calibri" w:hAnsi="Consolas" w:cs="Times New Roman"/>
      <w:sz w:val="21"/>
      <w:szCs w:val="21"/>
    </w:rPr>
  </w:style>
  <w:style w:type="paragraph" w:styleId="ListParagraph">
    <w:name w:val="List Paragraph"/>
    <w:basedOn w:val="Normal"/>
    <w:uiPriority w:val="34"/>
    <w:qFormat/>
    <w:rsid w:val="004A082E"/>
    <w:pPr>
      <w:ind w:left="720"/>
      <w:contextualSpacing/>
    </w:pPr>
  </w:style>
  <w:style w:type="paragraph" w:styleId="FootnoteText">
    <w:name w:val="footnote text"/>
    <w:basedOn w:val="Normal"/>
    <w:link w:val="FootnoteTextChar"/>
    <w:uiPriority w:val="99"/>
    <w:semiHidden/>
    <w:unhideWhenUsed/>
    <w:rsid w:val="001335F4"/>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1335F4"/>
    <w:rPr>
      <w:rFonts w:eastAsiaTheme="minorHAnsi"/>
      <w:sz w:val="20"/>
      <w:szCs w:val="20"/>
    </w:rPr>
  </w:style>
  <w:style w:type="character" w:styleId="FootnoteReference">
    <w:name w:val="footnote reference"/>
    <w:basedOn w:val="DefaultParagraphFont"/>
    <w:uiPriority w:val="99"/>
    <w:semiHidden/>
    <w:unhideWhenUsed/>
    <w:rsid w:val="001335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28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s.myflorida.com/elections/for-voters/voter-registration/national-voter-registration-ac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A87EC-DE65-4DB1-8B3E-B2B6F3F29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Florida Department of Children &amp; Families</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mercier-tammie</dc:creator>
  <cp:lastModifiedBy>Micallef, Jimmers</cp:lastModifiedBy>
  <cp:revision>2</cp:revision>
  <cp:lastPrinted>2015-11-04T14:19:00Z</cp:lastPrinted>
  <dcterms:created xsi:type="dcterms:W3CDTF">2018-06-01T22:07:00Z</dcterms:created>
  <dcterms:modified xsi:type="dcterms:W3CDTF">2018-06-01T22:07:00Z</dcterms:modified>
</cp:coreProperties>
</file>