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5ABA" w14:textId="2BAF39E8" w:rsidR="00A3276A" w:rsidRDefault="00A3276A" w:rsidP="00A3276A">
      <w:pPr>
        <w:spacing w:before="0" w:after="160" w:line="23" w:lineRule="atLeast"/>
        <w:rPr>
          <w:sz w:val="48"/>
          <w:szCs w:val="48"/>
        </w:rPr>
      </w:pPr>
    </w:p>
    <w:p w14:paraId="74E47EBD" w14:textId="77777777" w:rsidR="00A3276A" w:rsidRDefault="00A3276A" w:rsidP="00A3276A">
      <w:pPr>
        <w:spacing w:before="0" w:after="160" w:line="23" w:lineRule="atLeast"/>
        <w:rPr>
          <w:sz w:val="48"/>
          <w:szCs w:val="48"/>
        </w:rPr>
      </w:pPr>
    </w:p>
    <w:p w14:paraId="7CDF0B72" w14:textId="77777777" w:rsidR="00A3276A" w:rsidRDefault="00A3276A" w:rsidP="00A3276A">
      <w:pPr>
        <w:spacing w:before="0" w:after="160" w:line="23" w:lineRule="atLeast"/>
        <w:rPr>
          <w:sz w:val="48"/>
          <w:szCs w:val="48"/>
        </w:rPr>
      </w:pPr>
    </w:p>
    <w:p w14:paraId="13C71F1C" w14:textId="77777777" w:rsidR="00A3276A" w:rsidRDefault="00A3276A" w:rsidP="00A3276A">
      <w:pPr>
        <w:spacing w:before="0" w:after="160" w:line="23" w:lineRule="atLeast"/>
        <w:rPr>
          <w:sz w:val="48"/>
          <w:szCs w:val="48"/>
        </w:rPr>
      </w:pPr>
    </w:p>
    <w:p w14:paraId="5901310A" w14:textId="77777777" w:rsidR="00A3276A" w:rsidRDefault="00A3276A" w:rsidP="00A3276A">
      <w:pPr>
        <w:spacing w:before="0" w:after="160" w:line="23" w:lineRule="atLeast"/>
        <w:rPr>
          <w:sz w:val="48"/>
          <w:szCs w:val="48"/>
        </w:rPr>
      </w:pPr>
    </w:p>
    <w:p w14:paraId="1DC32B7F" w14:textId="77777777" w:rsidR="00A3276A" w:rsidRDefault="00A3276A" w:rsidP="00A3276A">
      <w:pPr>
        <w:spacing w:before="0" w:after="160" w:line="23" w:lineRule="atLeast"/>
        <w:rPr>
          <w:sz w:val="48"/>
          <w:szCs w:val="48"/>
        </w:rPr>
      </w:pPr>
    </w:p>
    <w:p w14:paraId="636858F6" w14:textId="77777777" w:rsidR="00A3276A" w:rsidRDefault="00A3276A" w:rsidP="00A3276A">
      <w:pPr>
        <w:spacing w:before="0" w:after="160" w:line="23" w:lineRule="atLeast"/>
        <w:jc w:val="center"/>
        <w:rPr>
          <w:sz w:val="48"/>
          <w:szCs w:val="48"/>
        </w:rPr>
      </w:pPr>
      <w:r>
        <w:rPr>
          <w:sz w:val="48"/>
          <w:szCs w:val="48"/>
        </w:rPr>
        <w:t>Florida Department of Children and Families</w:t>
      </w:r>
    </w:p>
    <w:p w14:paraId="3529CD8E" w14:textId="3E188914" w:rsidR="00A3276A" w:rsidRDefault="00A3276A" w:rsidP="00A3276A">
      <w:pPr>
        <w:spacing w:before="0" w:after="160" w:line="23" w:lineRule="atLeast"/>
        <w:jc w:val="center"/>
        <w:rPr>
          <w:sz w:val="48"/>
          <w:szCs w:val="48"/>
        </w:rPr>
      </w:pPr>
      <w:r>
        <w:rPr>
          <w:sz w:val="48"/>
          <w:szCs w:val="48"/>
        </w:rPr>
        <w:t>Enterprise Metrics Guidebook</w:t>
      </w:r>
    </w:p>
    <w:p w14:paraId="10D9C435" w14:textId="77777777" w:rsidR="00A3276A" w:rsidRPr="00D22413" w:rsidRDefault="00A3276A" w:rsidP="00A3276A">
      <w:pPr>
        <w:spacing w:line="23" w:lineRule="atLeast"/>
        <w:rPr>
          <w:sz w:val="48"/>
          <w:szCs w:val="48"/>
        </w:rPr>
      </w:pPr>
    </w:p>
    <w:p w14:paraId="0D48F1C2" w14:textId="77777777" w:rsidR="00A3276A" w:rsidRPr="00D22413" w:rsidRDefault="00A3276A" w:rsidP="00A3276A">
      <w:pPr>
        <w:spacing w:line="23" w:lineRule="atLeast"/>
        <w:rPr>
          <w:sz w:val="48"/>
          <w:szCs w:val="48"/>
        </w:rPr>
      </w:pPr>
    </w:p>
    <w:p w14:paraId="426F6469" w14:textId="77777777" w:rsidR="00A3276A" w:rsidRPr="00D22413" w:rsidRDefault="00A3276A" w:rsidP="00A3276A">
      <w:pPr>
        <w:spacing w:line="23" w:lineRule="atLeast"/>
        <w:rPr>
          <w:sz w:val="48"/>
          <w:szCs w:val="48"/>
        </w:rPr>
      </w:pPr>
    </w:p>
    <w:p w14:paraId="466BEE2E" w14:textId="77777777" w:rsidR="00A3276A" w:rsidRPr="00D22413" w:rsidRDefault="00A3276A" w:rsidP="00A3276A">
      <w:pPr>
        <w:spacing w:line="23" w:lineRule="atLeast"/>
        <w:rPr>
          <w:sz w:val="48"/>
          <w:szCs w:val="48"/>
        </w:rPr>
      </w:pPr>
    </w:p>
    <w:p w14:paraId="359D32FA" w14:textId="77777777" w:rsidR="00A3276A" w:rsidRPr="00D22413" w:rsidRDefault="00A3276A" w:rsidP="00A3276A">
      <w:pPr>
        <w:spacing w:line="23" w:lineRule="atLeast"/>
        <w:rPr>
          <w:sz w:val="48"/>
          <w:szCs w:val="48"/>
        </w:rPr>
      </w:pPr>
    </w:p>
    <w:p w14:paraId="6AB9799C" w14:textId="77777777" w:rsidR="00A3276A" w:rsidRPr="00D22413" w:rsidRDefault="00A3276A" w:rsidP="00A3276A">
      <w:pPr>
        <w:spacing w:line="23" w:lineRule="atLeast"/>
        <w:rPr>
          <w:sz w:val="48"/>
          <w:szCs w:val="48"/>
        </w:rPr>
      </w:pPr>
    </w:p>
    <w:p w14:paraId="687B38E0" w14:textId="77777777" w:rsidR="00A3276A" w:rsidRPr="00D22413" w:rsidRDefault="00A3276A" w:rsidP="00A3276A">
      <w:pPr>
        <w:spacing w:line="23" w:lineRule="atLeast"/>
        <w:rPr>
          <w:sz w:val="48"/>
          <w:szCs w:val="48"/>
        </w:rPr>
      </w:pPr>
    </w:p>
    <w:p w14:paraId="5A41D618" w14:textId="77777777" w:rsidR="00A3276A" w:rsidRDefault="00A3276A" w:rsidP="00A3276A">
      <w:pPr>
        <w:pStyle w:val="Header"/>
        <w:tabs>
          <w:tab w:val="left" w:pos="2430"/>
        </w:tabs>
        <w:spacing w:line="23" w:lineRule="atLeast"/>
        <w:jc w:val="right"/>
        <w:rPr>
          <w:sz w:val="18"/>
          <w:szCs w:val="18"/>
        </w:rPr>
      </w:pPr>
    </w:p>
    <w:p w14:paraId="2ABF4610" w14:textId="77777777" w:rsidR="00A3276A" w:rsidRDefault="00A3276A" w:rsidP="00A3276A">
      <w:pPr>
        <w:pStyle w:val="Header"/>
        <w:tabs>
          <w:tab w:val="left" w:pos="2430"/>
        </w:tabs>
        <w:spacing w:line="23" w:lineRule="atLeast"/>
        <w:jc w:val="right"/>
        <w:rPr>
          <w:sz w:val="18"/>
          <w:szCs w:val="18"/>
        </w:rPr>
      </w:pPr>
    </w:p>
    <w:p w14:paraId="06EFAA82" w14:textId="77777777" w:rsidR="00A3276A" w:rsidRDefault="00A3276A" w:rsidP="00A3276A">
      <w:pPr>
        <w:pStyle w:val="Header"/>
        <w:tabs>
          <w:tab w:val="left" w:pos="2430"/>
        </w:tabs>
        <w:spacing w:line="23" w:lineRule="atLeast"/>
        <w:jc w:val="right"/>
        <w:rPr>
          <w:sz w:val="18"/>
          <w:szCs w:val="18"/>
        </w:rPr>
      </w:pPr>
    </w:p>
    <w:p w14:paraId="336CF6C6" w14:textId="77777777" w:rsidR="00A3276A" w:rsidRPr="00D22413" w:rsidRDefault="00A3276A" w:rsidP="00A3276A">
      <w:pPr>
        <w:pStyle w:val="Header"/>
        <w:tabs>
          <w:tab w:val="left" w:pos="2430"/>
        </w:tabs>
        <w:spacing w:line="23" w:lineRule="atLeast"/>
        <w:jc w:val="right"/>
        <w:rPr>
          <w:b/>
          <w:sz w:val="24"/>
          <w:szCs w:val="24"/>
        </w:rPr>
      </w:pPr>
      <w:r>
        <w:rPr>
          <w:b/>
          <w:sz w:val="24"/>
          <w:szCs w:val="24"/>
        </w:rPr>
        <w:t>Data Analytics and Research Uni</w:t>
      </w:r>
      <w:r w:rsidRPr="00D22413">
        <w:rPr>
          <w:b/>
          <w:sz w:val="24"/>
          <w:szCs w:val="24"/>
        </w:rPr>
        <w:t>t</w:t>
      </w:r>
    </w:p>
    <w:p w14:paraId="7643D096" w14:textId="77777777" w:rsidR="00A3276A" w:rsidRDefault="00A3276A" w:rsidP="00A3276A">
      <w:pPr>
        <w:pStyle w:val="Header"/>
        <w:tabs>
          <w:tab w:val="left" w:pos="2430"/>
        </w:tabs>
        <w:spacing w:line="23" w:lineRule="atLeast"/>
        <w:jc w:val="right"/>
        <w:rPr>
          <w:b/>
          <w:sz w:val="28"/>
          <w:szCs w:val="28"/>
        </w:rPr>
      </w:pPr>
      <w:r>
        <w:rPr>
          <w:noProof/>
          <w:sz w:val="48"/>
          <w:szCs w:val="48"/>
        </w:rPr>
        <w:drawing>
          <wp:anchor distT="0" distB="0" distL="114300" distR="114300" simplePos="0" relativeHeight="251672576" behindDoc="0" locked="1" layoutInCell="1" allowOverlap="1" wp14:anchorId="598B750A" wp14:editId="5615D946">
            <wp:simplePos x="0" y="0"/>
            <wp:positionH relativeFrom="column">
              <wp:posOffset>228600</wp:posOffset>
            </wp:positionH>
            <wp:positionV relativeFrom="line">
              <wp:align>bottom</wp:align>
            </wp:positionV>
            <wp:extent cx="1572768" cy="1746504"/>
            <wp:effectExtent l="0" t="0" r="889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F_Logo_Square_color_transpBKGD_500x555.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768" cy="1746504"/>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Quality Office</w:t>
      </w:r>
    </w:p>
    <w:p w14:paraId="5425F3CB" w14:textId="77777777" w:rsidR="00A3276A" w:rsidRDefault="00A3276A" w:rsidP="00A3276A">
      <w:pPr>
        <w:pStyle w:val="Header"/>
        <w:tabs>
          <w:tab w:val="left" w:pos="2430"/>
        </w:tabs>
        <w:spacing w:line="23" w:lineRule="atLeast"/>
        <w:jc w:val="right"/>
        <w:rPr>
          <w:b/>
          <w:sz w:val="28"/>
          <w:szCs w:val="28"/>
        </w:rPr>
      </w:pPr>
    </w:p>
    <w:p w14:paraId="22A5EF59" w14:textId="6A6D373C" w:rsidR="008B1DC0" w:rsidRDefault="008B1DC0" w:rsidP="003F13E2">
      <w:pPr>
        <w:pStyle w:val="Header"/>
        <w:tabs>
          <w:tab w:val="left" w:pos="2430"/>
        </w:tabs>
        <w:spacing w:line="23" w:lineRule="atLeast"/>
        <w:jc w:val="center"/>
        <w:rPr>
          <w:b/>
          <w:sz w:val="28"/>
          <w:szCs w:val="28"/>
        </w:rPr>
        <w:sectPr w:rsidR="008B1DC0" w:rsidSect="007E2159">
          <w:headerReference w:type="default" r:id="rId9"/>
          <w:footerReference w:type="default" r:id="rId10"/>
          <w:headerReference w:type="first" r:id="rId11"/>
          <w:footerReference w:type="first" r:id="rId12"/>
          <w:pgSz w:w="12240" w:h="15840"/>
          <w:pgMar w:top="1440" w:right="720" w:bottom="720" w:left="810" w:header="720" w:footer="720" w:gutter="0"/>
          <w:cols w:space="720"/>
          <w:titlePg/>
          <w:docGrid w:linePitch="360"/>
        </w:sectPr>
      </w:pPr>
    </w:p>
    <w:p w14:paraId="7C443965" w14:textId="1CFD6245" w:rsidR="003F13E2" w:rsidRDefault="003F13E2">
      <w:pPr>
        <w:rPr>
          <w:sz w:val="48"/>
          <w:szCs w:val="48"/>
        </w:rPr>
      </w:pPr>
      <w:bookmarkStart w:id="0" w:name="_Toc51677227"/>
    </w:p>
    <w:sdt>
      <w:sdtPr>
        <w:rPr>
          <w:rFonts w:ascii="Arial" w:eastAsiaTheme="minorHAnsi" w:hAnsi="Arial" w:cstheme="minorBidi"/>
          <w:color w:val="auto"/>
          <w:sz w:val="22"/>
          <w:szCs w:val="22"/>
        </w:rPr>
        <w:id w:val="-445305576"/>
        <w:docPartObj>
          <w:docPartGallery w:val="Table of Contents"/>
          <w:docPartUnique/>
        </w:docPartObj>
      </w:sdtPr>
      <w:sdtEndPr>
        <w:rPr>
          <w:b/>
          <w:bCs/>
          <w:noProof/>
        </w:rPr>
      </w:sdtEndPr>
      <w:sdtContent>
        <w:p w14:paraId="605AC636" w14:textId="31D4B22E" w:rsidR="003F13E2" w:rsidRPr="003F13E2" w:rsidRDefault="003F13E2" w:rsidP="003F13E2">
          <w:pPr>
            <w:pStyle w:val="TOCHeading"/>
            <w:jc w:val="center"/>
            <w:rPr>
              <w:b/>
              <w:bCs/>
              <w:color w:val="000000" w:themeColor="text1"/>
            </w:rPr>
          </w:pPr>
          <w:r w:rsidRPr="003F13E2">
            <w:rPr>
              <w:b/>
              <w:bCs/>
              <w:color w:val="000000" w:themeColor="text1"/>
            </w:rPr>
            <w:t xml:space="preserve">Table of </w:t>
          </w:r>
          <w:r w:rsidRPr="003F13E2">
            <w:rPr>
              <w:b/>
              <w:bCs/>
              <w:color w:val="000000" w:themeColor="text1"/>
              <w:sz w:val="28"/>
              <w:szCs w:val="28"/>
            </w:rPr>
            <w:t>Contents</w:t>
          </w:r>
        </w:p>
        <w:p w14:paraId="6BB99C84" w14:textId="5ACA8E68" w:rsidR="00AE4B39" w:rsidRDefault="003F13E2">
          <w:pPr>
            <w:pStyle w:val="TOC1"/>
            <w:rPr>
              <w:rFonts w:asciiTheme="minorHAnsi" w:eastAsiaTheme="minorEastAsia" w:hAnsiTheme="minorHAnsi"/>
            </w:rPr>
          </w:pPr>
          <w:r>
            <w:fldChar w:fldCharType="begin"/>
          </w:r>
          <w:r>
            <w:instrText xml:space="preserve"> TOC \o "1-3" \h \z \u </w:instrText>
          </w:r>
          <w:r>
            <w:fldChar w:fldCharType="separate"/>
          </w:r>
          <w:hyperlink w:anchor="_Toc127779910" w:history="1">
            <w:r w:rsidR="00AE4B39" w:rsidRPr="00F615E0">
              <w:rPr>
                <w:rStyle w:val="Hyperlink"/>
              </w:rPr>
              <w:t>List of Abbreviations</w:t>
            </w:r>
            <w:r w:rsidR="00AE4B39">
              <w:rPr>
                <w:webHidden/>
              </w:rPr>
              <w:tab/>
            </w:r>
            <w:r w:rsidR="00AE4B39">
              <w:rPr>
                <w:webHidden/>
              </w:rPr>
              <w:fldChar w:fldCharType="begin"/>
            </w:r>
            <w:r w:rsidR="00AE4B39">
              <w:rPr>
                <w:webHidden/>
              </w:rPr>
              <w:instrText xml:space="preserve"> PAGEREF _Toc127779910 \h </w:instrText>
            </w:r>
            <w:r w:rsidR="00AE4B39">
              <w:rPr>
                <w:webHidden/>
              </w:rPr>
            </w:r>
            <w:r w:rsidR="00AE4B39">
              <w:rPr>
                <w:webHidden/>
              </w:rPr>
              <w:fldChar w:fldCharType="separate"/>
            </w:r>
            <w:r w:rsidR="00AE4B39">
              <w:rPr>
                <w:webHidden/>
              </w:rPr>
              <w:t>3</w:t>
            </w:r>
            <w:r w:rsidR="00AE4B39">
              <w:rPr>
                <w:webHidden/>
              </w:rPr>
              <w:fldChar w:fldCharType="end"/>
            </w:r>
          </w:hyperlink>
        </w:p>
        <w:p w14:paraId="4AB67175" w14:textId="458592F5" w:rsidR="00AE4B39" w:rsidRPr="007465E3" w:rsidRDefault="00000000">
          <w:pPr>
            <w:pStyle w:val="TOC1"/>
            <w:rPr>
              <w:rFonts w:asciiTheme="minorHAnsi" w:eastAsiaTheme="minorEastAsia" w:hAnsiTheme="minorHAnsi"/>
              <w:b/>
              <w:bCs/>
            </w:rPr>
          </w:pPr>
          <w:hyperlink w:anchor="_Toc127779911" w:history="1">
            <w:r w:rsidR="00AE4B39" w:rsidRPr="007465E3">
              <w:rPr>
                <w:rStyle w:val="Hyperlink"/>
                <w:b/>
                <w:bCs/>
              </w:rPr>
              <w:t>Safety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_Toc127779911 \h </w:instrText>
            </w:r>
            <w:r w:rsidR="00AE4B39" w:rsidRPr="007465E3">
              <w:rPr>
                <w:b/>
                <w:bCs/>
                <w:webHidden/>
              </w:rPr>
            </w:r>
            <w:r w:rsidR="00AE4B39" w:rsidRPr="007465E3">
              <w:rPr>
                <w:b/>
                <w:bCs/>
                <w:webHidden/>
              </w:rPr>
              <w:fldChar w:fldCharType="separate"/>
            </w:r>
            <w:r w:rsidR="00AE4B39" w:rsidRPr="007465E3">
              <w:rPr>
                <w:b/>
                <w:bCs/>
                <w:webHidden/>
              </w:rPr>
              <w:t>4</w:t>
            </w:r>
            <w:r w:rsidR="00AE4B39" w:rsidRPr="007465E3">
              <w:rPr>
                <w:b/>
                <w:bCs/>
                <w:webHidden/>
              </w:rPr>
              <w:fldChar w:fldCharType="end"/>
            </w:r>
          </w:hyperlink>
        </w:p>
        <w:p w14:paraId="542B78EF" w14:textId="03A170FD" w:rsidR="00AE4B39" w:rsidRDefault="00000000">
          <w:pPr>
            <w:pStyle w:val="TOC1"/>
            <w:rPr>
              <w:rFonts w:asciiTheme="minorHAnsi" w:eastAsiaTheme="minorEastAsia" w:hAnsiTheme="minorHAnsi"/>
            </w:rPr>
          </w:pPr>
          <w:hyperlink w:anchor="_Toc127779912" w:history="1">
            <w:r w:rsidR="00AE4B39" w:rsidRPr="00F615E0">
              <w:rPr>
                <w:rStyle w:val="Hyperlink"/>
              </w:rPr>
              <w:t>Percentage of Children with No Recurrence of Verified Maltreatment within Twelve Months of a Prior Verified Maltreatment</w:t>
            </w:r>
            <w:r w:rsidR="00AE4B39">
              <w:rPr>
                <w:webHidden/>
              </w:rPr>
              <w:tab/>
            </w:r>
            <w:r w:rsidR="00AE4B39">
              <w:rPr>
                <w:webHidden/>
              </w:rPr>
              <w:fldChar w:fldCharType="begin"/>
            </w:r>
            <w:r w:rsidR="00AE4B39">
              <w:rPr>
                <w:webHidden/>
              </w:rPr>
              <w:instrText xml:space="preserve"> PAGEREF _Toc127779912 \h </w:instrText>
            </w:r>
            <w:r w:rsidR="00AE4B39">
              <w:rPr>
                <w:webHidden/>
              </w:rPr>
            </w:r>
            <w:r w:rsidR="00AE4B39">
              <w:rPr>
                <w:webHidden/>
              </w:rPr>
              <w:fldChar w:fldCharType="separate"/>
            </w:r>
            <w:r w:rsidR="00AE4B39">
              <w:rPr>
                <w:webHidden/>
              </w:rPr>
              <w:t>5</w:t>
            </w:r>
            <w:r w:rsidR="00AE4B39">
              <w:rPr>
                <w:webHidden/>
              </w:rPr>
              <w:fldChar w:fldCharType="end"/>
            </w:r>
          </w:hyperlink>
        </w:p>
        <w:p w14:paraId="22CB4417" w14:textId="75426A71" w:rsidR="00AE4B39" w:rsidRDefault="00000000">
          <w:pPr>
            <w:pStyle w:val="TOC1"/>
            <w:rPr>
              <w:rFonts w:asciiTheme="minorHAnsi" w:eastAsiaTheme="minorEastAsia" w:hAnsiTheme="minorHAnsi"/>
            </w:rPr>
          </w:pPr>
          <w:hyperlink w:anchor="_Toc127779913" w:history="1">
            <w:r w:rsidR="00AE4B39" w:rsidRPr="00F615E0">
              <w:rPr>
                <w:rStyle w:val="Hyperlink"/>
              </w:rPr>
              <w:t>Percentage of Children Not Abused During Out-of-Home Care</w:t>
            </w:r>
            <w:r w:rsidR="00AE4B39">
              <w:rPr>
                <w:webHidden/>
              </w:rPr>
              <w:tab/>
            </w:r>
            <w:r w:rsidR="00AE4B39">
              <w:rPr>
                <w:webHidden/>
              </w:rPr>
              <w:fldChar w:fldCharType="begin"/>
            </w:r>
            <w:r w:rsidR="00AE4B39">
              <w:rPr>
                <w:webHidden/>
              </w:rPr>
              <w:instrText xml:space="preserve"> PAGEREF _Toc127779913 \h </w:instrText>
            </w:r>
            <w:r w:rsidR="00AE4B39">
              <w:rPr>
                <w:webHidden/>
              </w:rPr>
            </w:r>
            <w:r w:rsidR="00AE4B39">
              <w:rPr>
                <w:webHidden/>
              </w:rPr>
              <w:fldChar w:fldCharType="separate"/>
            </w:r>
            <w:r w:rsidR="00AE4B39">
              <w:rPr>
                <w:webHidden/>
              </w:rPr>
              <w:t>6</w:t>
            </w:r>
            <w:r w:rsidR="00AE4B39">
              <w:rPr>
                <w:webHidden/>
              </w:rPr>
              <w:fldChar w:fldCharType="end"/>
            </w:r>
          </w:hyperlink>
        </w:p>
        <w:p w14:paraId="6AFFE2F8" w14:textId="74B94731" w:rsidR="00AE4B39" w:rsidRDefault="00000000">
          <w:pPr>
            <w:pStyle w:val="TOC1"/>
            <w:rPr>
              <w:rFonts w:asciiTheme="minorHAnsi" w:eastAsiaTheme="minorEastAsia" w:hAnsiTheme="minorHAnsi"/>
            </w:rPr>
          </w:pPr>
          <w:hyperlink w:anchor="_Toc127779914" w:history="1">
            <w:r w:rsidR="00AE4B39" w:rsidRPr="00F615E0">
              <w:rPr>
                <w:rStyle w:val="Hyperlink"/>
              </w:rPr>
              <w:t>Percentage of Children Not Abused During In-Home Services</w:t>
            </w:r>
            <w:r w:rsidR="00AE4B39">
              <w:rPr>
                <w:webHidden/>
              </w:rPr>
              <w:tab/>
            </w:r>
            <w:r w:rsidR="00AE4B39">
              <w:rPr>
                <w:webHidden/>
              </w:rPr>
              <w:fldChar w:fldCharType="begin"/>
            </w:r>
            <w:r w:rsidR="00AE4B39">
              <w:rPr>
                <w:webHidden/>
              </w:rPr>
              <w:instrText xml:space="preserve"> PAGEREF _Toc127779914 \h </w:instrText>
            </w:r>
            <w:r w:rsidR="00AE4B39">
              <w:rPr>
                <w:webHidden/>
              </w:rPr>
            </w:r>
            <w:r w:rsidR="00AE4B39">
              <w:rPr>
                <w:webHidden/>
              </w:rPr>
              <w:fldChar w:fldCharType="separate"/>
            </w:r>
            <w:r w:rsidR="00AE4B39">
              <w:rPr>
                <w:webHidden/>
              </w:rPr>
              <w:t>7</w:t>
            </w:r>
            <w:r w:rsidR="00AE4B39">
              <w:rPr>
                <w:webHidden/>
              </w:rPr>
              <w:fldChar w:fldCharType="end"/>
            </w:r>
          </w:hyperlink>
        </w:p>
        <w:p w14:paraId="75B34245" w14:textId="2D581980" w:rsidR="00AE4B39" w:rsidRDefault="00000000">
          <w:pPr>
            <w:pStyle w:val="TOC1"/>
            <w:rPr>
              <w:rFonts w:asciiTheme="minorHAnsi" w:eastAsiaTheme="minorEastAsia" w:hAnsiTheme="minorHAnsi"/>
            </w:rPr>
          </w:pPr>
          <w:hyperlink w:anchor="_Toc127779915" w:history="1">
            <w:r w:rsidR="00AE4B39" w:rsidRPr="00F615E0">
              <w:rPr>
                <w:rStyle w:val="Hyperlink"/>
              </w:rPr>
              <w:t>Qualitative Index for Safety</w:t>
            </w:r>
            <w:r w:rsidR="00AE4B39">
              <w:rPr>
                <w:webHidden/>
              </w:rPr>
              <w:tab/>
            </w:r>
            <w:r w:rsidR="00AE4B39">
              <w:rPr>
                <w:webHidden/>
              </w:rPr>
              <w:fldChar w:fldCharType="begin"/>
            </w:r>
            <w:r w:rsidR="00AE4B39">
              <w:rPr>
                <w:webHidden/>
              </w:rPr>
              <w:instrText xml:space="preserve"> PAGEREF _Toc127779915 \h </w:instrText>
            </w:r>
            <w:r w:rsidR="00AE4B39">
              <w:rPr>
                <w:webHidden/>
              </w:rPr>
            </w:r>
            <w:r w:rsidR="00AE4B39">
              <w:rPr>
                <w:webHidden/>
              </w:rPr>
              <w:fldChar w:fldCharType="separate"/>
            </w:r>
            <w:r w:rsidR="00AE4B39">
              <w:rPr>
                <w:webHidden/>
              </w:rPr>
              <w:t>8</w:t>
            </w:r>
            <w:r w:rsidR="00AE4B39">
              <w:rPr>
                <w:webHidden/>
              </w:rPr>
              <w:fldChar w:fldCharType="end"/>
            </w:r>
          </w:hyperlink>
        </w:p>
        <w:p w14:paraId="79024CC5" w14:textId="61132B29" w:rsidR="00AE4B39" w:rsidRPr="007465E3" w:rsidRDefault="00000000">
          <w:pPr>
            <w:pStyle w:val="TOC1"/>
            <w:rPr>
              <w:rFonts w:asciiTheme="minorHAnsi" w:eastAsiaTheme="minorEastAsia" w:hAnsiTheme="minorHAnsi"/>
              <w:b/>
              <w:bCs/>
            </w:rPr>
          </w:pPr>
          <w:hyperlink w:anchor="_Toc127779916" w:history="1">
            <w:r w:rsidR="00AE4B39" w:rsidRPr="007465E3">
              <w:rPr>
                <w:rStyle w:val="Hyperlink"/>
                <w:b/>
                <w:bCs/>
              </w:rPr>
              <w:t>Permanency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_Toc127779916 \h </w:instrText>
            </w:r>
            <w:r w:rsidR="00AE4B39" w:rsidRPr="007465E3">
              <w:rPr>
                <w:b/>
                <w:bCs/>
                <w:webHidden/>
              </w:rPr>
            </w:r>
            <w:r w:rsidR="00AE4B39" w:rsidRPr="007465E3">
              <w:rPr>
                <w:b/>
                <w:bCs/>
                <w:webHidden/>
              </w:rPr>
              <w:fldChar w:fldCharType="separate"/>
            </w:r>
            <w:r w:rsidR="00AE4B39" w:rsidRPr="007465E3">
              <w:rPr>
                <w:b/>
                <w:bCs/>
                <w:webHidden/>
              </w:rPr>
              <w:t>9</w:t>
            </w:r>
            <w:r w:rsidR="00AE4B39" w:rsidRPr="007465E3">
              <w:rPr>
                <w:b/>
                <w:bCs/>
                <w:webHidden/>
              </w:rPr>
              <w:fldChar w:fldCharType="end"/>
            </w:r>
          </w:hyperlink>
        </w:p>
        <w:p w14:paraId="68481D92" w14:textId="78B5ECB1" w:rsidR="00AE4B39" w:rsidRDefault="00000000">
          <w:pPr>
            <w:pStyle w:val="TOC1"/>
            <w:rPr>
              <w:rFonts w:asciiTheme="minorHAnsi" w:eastAsiaTheme="minorEastAsia" w:hAnsiTheme="minorHAnsi"/>
            </w:rPr>
          </w:pPr>
          <w:hyperlink w:anchor="_Toc127779917" w:history="1">
            <w:r w:rsidR="00AE4B39" w:rsidRPr="00F615E0">
              <w:rPr>
                <w:rStyle w:val="Hyperlink"/>
              </w:rPr>
              <w:t>Percentage of Children Achieving Permanency within Twelve Months</w:t>
            </w:r>
            <w:r w:rsidR="00AE4B39">
              <w:rPr>
                <w:webHidden/>
              </w:rPr>
              <w:tab/>
            </w:r>
            <w:r w:rsidR="00AE4B39">
              <w:rPr>
                <w:webHidden/>
              </w:rPr>
              <w:fldChar w:fldCharType="begin"/>
            </w:r>
            <w:r w:rsidR="00AE4B39">
              <w:rPr>
                <w:webHidden/>
              </w:rPr>
              <w:instrText xml:space="preserve"> PAGEREF _Toc127779917 \h </w:instrText>
            </w:r>
            <w:r w:rsidR="00AE4B39">
              <w:rPr>
                <w:webHidden/>
              </w:rPr>
            </w:r>
            <w:r w:rsidR="00AE4B39">
              <w:rPr>
                <w:webHidden/>
              </w:rPr>
              <w:fldChar w:fldCharType="separate"/>
            </w:r>
            <w:r w:rsidR="00AE4B39">
              <w:rPr>
                <w:webHidden/>
              </w:rPr>
              <w:t>10</w:t>
            </w:r>
            <w:r w:rsidR="00AE4B39">
              <w:rPr>
                <w:webHidden/>
              </w:rPr>
              <w:fldChar w:fldCharType="end"/>
            </w:r>
          </w:hyperlink>
        </w:p>
        <w:p w14:paraId="31A35B8E" w14:textId="425C73BA" w:rsidR="00AE4B39" w:rsidRDefault="00000000">
          <w:pPr>
            <w:pStyle w:val="TOC1"/>
            <w:rPr>
              <w:rFonts w:asciiTheme="minorHAnsi" w:eastAsiaTheme="minorEastAsia" w:hAnsiTheme="minorHAnsi"/>
            </w:rPr>
          </w:pPr>
          <w:hyperlink w:anchor="_Toc127779918" w:history="1">
            <w:r w:rsidR="00AE4B39" w:rsidRPr="00F615E0">
              <w:rPr>
                <w:rStyle w:val="Hyperlink"/>
              </w:rPr>
              <w:t>Percentage of Children Achieving Permanency in 12 months for Children in Out-of-Home Care Between Twelve and Twenty-Three months</w:t>
            </w:r>
            <w:r w:rsidR="00AE4B39">
              <w:rPr>
                <w:webHidden/>
              </w:rPr>
              <w:tab/>
            </w:r>
            <w:r w:rsidR="00AE4B39">
              <w:rPr>
                <w:webHidden/>
              </w:rPr>
              <w:fldChar w:fldCharType="begin"/>
            </w:r>
            <w:r w:rsidR="00AE4B39">
              <w:rPr>
                <w:webHidden/>
              </w:rPr>
              <w:instrText xml:space="preserve"> PAGEREF _Toc127779918 \h </w:instrText>
            </w:r>
            <w:r w:rsidR="00AE4B39">
              <w:rPr>
                <w:webHidden/>
              </w:rPr>
            </w:r>
            <w:r w:rsidR="00AE4B39">
              <w:rPr>
                <w:webHidden/>
              </w:rPr>
              <w:fldChar w:fldCharType="separate"/>
            </w:r>
            <w:r w:rsidR="00AE4B39">
              <w:rPr>
                <w:webHidden/>
              </w:rPr>
              <w:t>11</w:t>
            </w:r>
            <w:r w:rsidR="00AE4B39">
              <w:rPr>
                <w:webHidden/>
              </w:rPr>
              <w:fldChar w:fldCharType="end"/>
            </w:r>
          </w:hyperlink>
        </w:p>
        <w:p w14:paraId="62FC378B" w14:textId="15BBF568" w:rsidR="00AE4B39" w:rsidRDefault="00000000">
          <w:pPr>
            <w:pStyle w:val="TOC1"/>
            <w:rPr>
              <w:rFonts w:asciiTheme="minorHAnsi" w:eastAsiaTheme="minorEastAsia" w:hAnsiTheme="minorHAnsi"/>
            </w:rPr>
          </w:pPr>
          <w:hyperlink w:anchor="_Toc127779919" w:history="1">
            <w:r w:rsidR="00AE4B39" w:rsidRPr="00F615E0">
              <w:rPr>
                <w:rStyle w:val="Hyperlink"/>
              </w:rPr>
              <w:t>Percentage of Children Placed with Relatives or Non-Relatives</w:t>
            </w:r>
            <w:r w:rsidR="00AE4B39">
              <w:rPr>
                <w:webHidden/>
              </w:rPr>
              <w:tab/>
            </w:r>
            <w:r w:rsidR="00AE4B39">
              <w:rPr>
                <w:webHidden/>
              </w:rPr>
              <w:fldChar w:fldCharType="begin"/>
            </w:r>
            <w:r w:rsidR="00AE4B39">
              <w:rPr>
                <w:webHidden/>
              </w:rPr>
              <w:instrText xml:space="preserve"> PAGEREF _Toc127779919 \h </w:instrText>
            </w:r>
            <w:r w:rsidR="00AE4B39">
              <w:rPr>
                <w:webHidden/>
              </w:rPr>
            </w:r>
            <w:r w:rsidR="00AE4B39">
              <w:rPr>
                <w:webHidden/>
              </w:rPr>
              <w:fldChar w:fldCharType="separate"/>
            </w:r>
            <w:r w:rsidR="00AE4B39">
              <w:rPr>
                <w:webHidden/>
              </w:rPr>
              <w:t>12</w:t>
            </w:r>
            <w:r w:rsidR="00AE4B39">
              <w:rPr>
                <w:webHidden/>
              </w:rPr>
              <w:fldChar w:fldCharType="end"/>
            </w:r>
          </w:hyperlink>
        </w:p>
        <w:p w14:paraId="00EBAAFD" w14:textId="59D5FAB5" w:rsidR="00AE4B39" w:rsidRDefault="00000000">
          <w:pPr>
            <w:pStyle w:val="TOC1"/>
            <w:rPr>
              <w:rFonts w:asciiTheme="minorHAnsi" w:eastAsiaTheme="minorEastAsia" w:hAnsiTheme="minorHAnsi"/>
            </w:rPr>
          </w:pPr>
          <w:hyperlink w:anchor="_Toc127779920" w:history="1">
            <w:r w:rsidR="00AE4B39" w:rsidRPr="00F615E0">
              <w:rPr>
                <w:rStyle w:val="Hyperlink"/>
              </w:rPr>
              <w:t>Rate of Placement Moves per 1,000 Bed Days in Out-of-Home Care</w:t>
            </w:r>
            <w:r w:rsidR="00AE4B39">
              <w:rPr>
                <w:webHidden/>
              </w:rPr>
              <w:tab/>
            </w:r>
            <w:r w:rsidR="00AE4B39">
              <w:rPr>
                <w:webHidden/>
              </w:rPr>
              <w:fldChar w:fldCharType="begin"/>
            </w:r>
            <w:r w:rsidR="00AE4B39">
              <w:rPr>
                <w:webHidden/>
              </w:rPr>
              <w:instrText xml:space="preserve"> PAGEREF _Toc127779920 \h </w:instrText>
            </w:r>
            <w:r w:rsidR="00AE4B39">
              <w:rPr>
                <w:webHidden/>
              </w:rPr>
            </w:r>
            <w:r w:rsidR="00AE4B39">
              <w:rPr>
                <w:webHidden/>
              </w:rPr>
              <w:fldChar w:fldCharType="separate"/>
            </w:r>
            <w:r w:rsidR="00AE4B39">
              <w:rPr>
                <w:webHidden/>
              </w:rPr>
              <w:t>13</w:t>
            </w:r>
            <w:r w:rsidR="00AE4B39">
              <w:rPr>
                <w:webHidden/>
              </w:rPr>
              <w:fldChar w:fldCharType="end"/>
            </w:r>
          </w:hyperlink>
        </w:p>
        <w:p w14:paraId="6C0B5711" w14:textId="0B5B126D" w:rsidR="00AE4B39" w:rsidRDefault="00000000">
          <w:pPr>
            <w:pStyle w:val="TOC1"/>
            <w:rPr>
              <w:rFonts w:asciiTheme="minorHAnsi" w:eastAsiaTheme="minorEastAsia" w:hAnsiTheme="minorHAnsi"/>
            </w:rPr>
          </w:pPr>
          <w:hyperlink w:anchor="_Toc127779921" w:history="1">
            <w:r w:rsidR="00AE4B39" w:rsidRPr="00F615E0">
              <w:rPr>
                <w:rStyle w:val="Hyperlink"/>
              </w:rPr>
              <w:t>Percent of Children who Do Not Re-Enter Out-of-Home Care within 12 Months of Exit from Out-of-Home Care</w:t>
            </w:r>
            <w:r w:rsidR="00AE4B39">
              <w:rPr>
                <w:webHidden/>
              </w:rPr>
              <w:tab/>
            </w:r>
            <w:r w:rsidR="00AE4B39">
              <w:rPr>
                <w:webHidden/>
              </w:rPr>
              <w:fldChar w:fldCharType="begin"/>
            </w:r>
            <w:r w:rsidR="00AE4B39">
              <w:rPr>
                <w:webHidden/>
              </w:rPr>
              <w:instrText xml:space="preserve"> PAGEREF _Toc127779921 \h </w:instrText>
            </w:r>
            <w:r w:rsidR="00AE4B39">
              <w:rPr>
                <w:webHidden/>
              </w:rPr>
            </w:r>
            <w:r w:rsidR="00AE4B39">
              <w:rPr>
                <w:webHidden/>
              </w:rPr>
              <w:fldChar w:fldCharType="separate"/>
            </w:r>
            <w:r w:rsidR="00AE4B39">
              <w:rPr>
                <w:webHidden/>
              </w:rPr>
              <w:t>15</w:t>
            </w:r>
            <w:r w:rsidR="00AE4B39">
              <w:rPr>
                <w:webHidden/>
              </w:rPr>
              <w:fldChar w:fldCharType="end"/>
            </w:r>
          </w:hyperlink>
        </w:p>
        <w:p w14:paraId="0A1818FF" w14:textId="66B5FEF8" w:rsidR="00AE4B39" w:rsidRDefault="00000000">
          <w:pPr>
            <w:pStyle w:val="TOC1"/>
            <w:rPr>
              <w:rFonts w:asciiTheme="minorHAnsi" w:eastAsiaTheme="minorEastAsia" w:hAnsiTheme="minorHAnsi"/>
            </w:rPr>
          </w:pPr>
          <w:hyperlink w:anchor="_Toc127779922" w:history="1">
            <w:r w:rsidR="00AE4B39" w:rsidRPr="00F615E0">
              <w:rPr>
                <w:rStyle w:val="Hyperlink"/>
              </w:rPr>
              <w:t>Qualitative Index for Permanency</w:t>
            </w:r>
            <w:r w:rsidR="00AE4B39">
              <w:rPr>
                <w:webHidden/>
              </w:rPr>
              <w:tab/>
            </w:r>
            <w:r w:rsidR="00AE4B39">
              <w:rPr>
                <w:webHidden/>
              </w:rPr>
              <w:fldChar w:fldCharType="begin"/>
            </w:r>
            <w:r w:rsidR="00AE4B39">
              <w:rPr>
                <w:webHidden/>
              </w:rPr>
              <w:instrText xml:space="preserve"> PAGEREF _Toc127779922 \h </w:instrText>
            </w:r>
            <w:r w:rsidR="00AE4B39">
              <w:rPr>
                <w:webHidden/>
              </w:rPr>
            </w:r>
            <w:r w:rsidR="00AE4B39">
              <w:rPr>
                <w:webHidden/>
              </w:rPr>
              <w:fldChar w:fldCharType="separate"/>
            </w:r>
            <w:r w:rsidR="00AE4B39">
              <w:rPr>
                <w:webHidden/>
              </w:rPr>
              <w:t>16</w:t>
            </w:r>
            <w:r w:rsidR="00AE4B39">
              <w:rPr>
                <w:webHidden/>
              </w:rPr>
              <w:fldChar w:fldCharType="end"/>
            </w:r>
          </w:hyperlink>
        </w:p>
        <w:p w14:paraId="5983AA5A" w14:textId="15D22B27" w:rsidR="00AE4B39" w:rsidRPr="007465E3" w:rsidRDefault="00000000">
          <w:pPr>
            <w:pStyle w:val="TOC1"/>
            <w:rPr>
              <w:rFonts w:asciiTheme="minorHAnsi" w:eastAsiaTheme="minorEastAsia" w:hAnsiTheme="minorHAnsi"/>
              <w:b/>
              <w:bCs/>
            </w:rPr>
          </w:pPr>
          <w:hyperlink w:anchor="_Toc127779923" w:history="1">
            <w:r w:rsidR="00AE4B39" w:rsidRPr="007465E3">
              <w:rPr>
                <w:rStyle w:val="Hyperlink"/>
                <w:b/>
                <w:bCs/>
              </w:rPr>
              <w:t>Well-Being Metrics</w:t>
            </w:r>
            <w:r w:rsidR="00AE4B39" w:rsidRPr="007465E3">
              <w:rPr>
                <w:b/>
                <w:bCs/>
                <w:webHidden/>
              </w:rPr>
              <w:tab/>
            </w:r>
            <w:r w:rsidR="00AE4B39" w:rsidRPr="007465E3">
              <w:rPr>
                <w:b/>
                <w:bCs/>
                <w:webHidden/>
              </w:rPr>
              <w:fldChar w:fldCharType="begin"/>
            </w:r>
            <w:r w:rsidR="00AE4B39" w:rsidRPr="007465E3">
              <w:rPr>
                <w:b/>
                <w:bCs/>
                <w:webHidden/>
              </w:rPr>
              <w:instrText xml:space="preserve"> PAGEREF _Toc127779923 \h </w:instrText>
            </w:r>
            <w:r w:rsidR="00AE4B39" w:rsidRPr="007465E3">
              <w:rPr>
                <w:b/>
                <w:bCs/>
                <w:webHidden/>
              </w:rPr>
            </w:r>
            <w:r w:rsidR="00AE4B39" w:rsidRPr="007465E3">
              <w:rPr>
                <w:b/>
                <w:bCs/>
                <w:webHidden/>
              </w:rPr>
              <w:fldChar w:fldCharType="separate"/>
            </w:r>
            <w:r w:rsidR="00AE4B39" w:rsidRPr="007465E3">
              <w:rPr>
                <w:b/>
                <w:bCs/>
                <w:webHidden/>
              </w:rPr>
              <w:t>16</w:t>
            </w:r>
            <w:r w:rsidR="00AE4B39" w:rsidRPr="007465E3">
              <w:rPr>
                <w:b/>
                <w:bCs/>
                <w:webHidden/>
              </w:rPr>
              <w:fldChar w:fldCharType="end"/>
            </w:r>
          </w:hyperlink>
        </w:p>
        <w:p w14:paraId="2B2B35FC" w14:textId="3854F05E" w:rsidR="00AE4B39" w:rsidRDefault="00000000">
          <w:pPr>
            <w:pStyle w:val="TOC1"/>
            <w:rPr>
              <w:rFonts w:asciiTheme="minorHAnsi" w:eastAsiaTheme="minorEastAsia" w:hAnsiTheme="minorHAnsi"/>
            </w:rPr>
          </w:pPr>
          <w:hyperlink w:anchor="_Toc127779924" w:history="1">
            <w:r w:rsidR="00AE4B39" w:rsidRPr="00F615E0">
              <w:rPr>
                <w:rStyle w:val="Hyperlink"/>
              </w:rPr>
              <w:t>Percentage of Children Seen Every 30 Days</w:t>
            </w:r>
            <w:r w:rsidR="00AE4B39">
              <w:rPr>
                <w:webHidden/>
              </w:rPr>
              <w:tab/>
            </w:r>
            <w:r w:rsidR="00AE4B39">
              <w:rPr>
                <w:webHidden/>
              </w:rPr>
              <w:fldChar w:fldCharType="begin"/>
            </w:r>
            <w:r w:rsidR="00AE4B39">
              <w:rPr>
                <w:webHidden/>
              </w:rPr>
              <w:instrText xml:space="preserve"> PAGEREF _Toc127779924 \h </w:instrText>
            </w:r>
            <w:r w:rsidR="00AE4B39">
              <w:rPr>
                <w:webHidden/>
              </w:rPr>
            </w:r>
            <w:r w:rsidR="00AE4B39">
              <w:rPr>
                <w:webHidden/>
              </w:rPr>
              <w:fldChar w:fldCharType="separate"/>
            </w:r>
            <w:r w:rsidR="00AE4B39">
              <w:rPr>
                <w:webHidden/>
              </w:rPr>
              <w:t>17</w:t>
            </w:r>
            <w:r w:rsidR="00AE4B39">
              <w:rPr>
                <w:webHidden/>
              </w:rPr>
              <w:fldChar w:fldCharType="end"/>
            </w:r>
          </w:hyperlink>
        </w:p>
        <w:p w14:paraId="33C2BE9E" w14:textId="46EE1F11" w:rsidR="00AE4B39" w:rsidRDefault="00000000">
          <w:pPr>
            <w:pStyle w:val="TOC1"/>
            <w:rPr>
              <w:rFonts w:asciiTheme="minorHAnsi" w:eastAsiaTheme="minorEastAsia" w:hAnsiTheme="minorHAnsi"/>
            </w:rPr>
          </w:pPr>
          <w:hyperlink w:anchor="_Toc127779925" w:history="1">
            <w:r w:rsidR="00AE4B39" w:rsidRPr="00F615E0">
              <w:rPr>
                <w:rStyle w:val="Hyperlink"/>
              </w:rPr>
              <w:t>Percent of Sibling Groups where All Children are Place Together</w:t>
            </w:r>
            <w:r w:rsidR="00AE4B39">
              <w:rPr>
                <w:webHidden/>
              </w:rPr>
              <w:tab/>
            </w:r>
            <w:r w:rsidR="00AE4B39">
              <w:rPr>
                <w:webHidden/>
              </w:rPr>
              <w:fldChar w:fldCharType="begin"/>
            </w:r>
            <w:r w:rsidR="00AE4B39">
              <w:rPr>
                <w:webHidden/>
              </w:rPr>
              <w:instrText xml:space="preserve"> PAGEREF _Toc127779925 \h </w:instrText>
            </w:r>
            <w:r w:rsidR="00AE4B39">
              <w:rPr>
                <w:webHidden/>
              </w:rPr>
            </w:r>
            <w:r w:rsidR="00AE4B39">
              <w:rPr>
                <w:webHidden/>
              </w:rPr>
              <w:fldChar w:fldCharType="separate"/>
            </w:r>
            <w:r w:rsidR="00AE4B39">
              <w:rPr>
                <w:webHidden/>
              </w:rPr>
              <w:t>18</w:t>
            </w:r>
            <w:r w:rsidR="00AE4B39">
              <w:rPr>
                <w:webHidden/>
              </w:rPr>
              <w:fldChar w:fldCharType="end"/>
            </w:r>
          </w:hyperlink>
        </w:p>
        <w:p w14:paraId="51178478" w14:textId="6AD2E774" w:rsidR="00AE4B39" w:rsidRDefault="00000000">
          <w:pPr>
            <w:pStyle w:val="TOC1"/>
            <w:rPr>
              <w:rFonts w:asciiTheme="minorHAnsi" w:eastAsiaTheme="minorEastAsia" w:hAnsiTheme="minorHAnsi"/>
            </w:rPr>
          </w:pPr>
          <w:hyperlink w:anchor="_Toc127779926" w:history="1">
            <w:r w:rsidR="00AE4B39" w:rsidRPr="00F615E0">
              <w:rPr>
                <w:rStyle w:val="Hyperlink"/>
              </w:rPr>
              <w:t>Qualitative Index for Well-Being</w:t>
            </w:r>
            <w:r w:rsidR="00AE4B39">
              <w:rPr>
                <w:webHidden/>
              </w:rPr>
              <w:tab/>
            </w:r>
            <w:r w:rsidR="00AE4B39">
              <w:rPr>
                <w:webHidden/>
              </w:rPr>
              <w:fldChar w:fldCharType="begin"/>
            </w:r>
            <w:r w:rsidR="00AE4B39">
              <w:rPr>
                <w:webHidden/>
              </w:rPr>
              <w:instrText xml:space="preserve"> PAGEREF _Toc127779926 \h </w:instrText>
            </w:r>
            <w:r w:rsidR="00AE4B39">
              <w:rPr>
                <w:webHidden/>
              </w:rPr>
            </w:r>
            <w:r w:rsidR="00AE4B39">
              <w:rPr>
                <w:webHidden/>
              </w:rPr>
              <w:fldChar w:fldCharType="separate"/>
            </w:r>
            <w:r w:rsidR="00AE4B39">
              <w:rPr>
                <w:webHidden/>
              </w:rPr>
              <w:t>19</w:t>
            </w:r>
            <w:r w:rsidR="00AE4B39">
              <w:rPr>
                <w:webHidden/>
              </w:rPr>
              <w:fldChar w:fldCharType="end"/>
            </w:r>
          </w:hyperlink>
        </w:p>
        <w:p w14:paraId="0E41DDF7" w14:textId="7FA7DF87" w:rsidR="00AE4B39" w:rsidRDefault="00000000">
          <w:pPr>
            <w:pStyle w:val="TOC1"/>
            <w:rPr>
              <w:rFonts w:asciiTheme="minorHAnsi" w:eastAsiaTheme="minorEastAsia" w:hAnsiTheme="minorHAnsi"/>
            </w:rPr>
          </w:pPr>
          <w:hyperlink w:anchor="_Toc127779927" w:history="1">
            <w:r w:rsidR="00AE4B39" w:rsidRPr="00F615E0">
              <w:rPr>
                <w:rStyle w:val="Hyperlink"/>
              </w:rPr>
              <w:t>References</w:t>
            </w:r>
            <w:r w:rsidR="00AE4B39">
              <w:rPr>
                <w:webHidden/>
              </w:rPr>
              <w:tab/>
            </w:r>
            <w:r w:rsidR="00AE4B39">
              <w:rPr>
                <w:webHidden/>
              </w:rPr>
              <w:fldChar w:fldCharType="begin"/>
            </w:r>
            <w:r w:rsidR="00AE4B39">
              <w:rPr>
                <w:webHidden/>
              </w:rPr>
              <w:instrText xml:space="preserve"> PAGEREF _Toc127779927 \h </w:instrText>
            </w:r>
            <w:r w:rsidR="00AE4B39">
              <w:rPr>
                <w:webHidden/>
              </w:rPr>
            </w:r>
            <w:r w:rsidR="00AE4B39">
              <w:rPr>
                <w:webHidden/>
              </w:rPr>
              <w:fldChar w:fldCharType="separate"/>
            </w:r>
            <w:r w:rsidR="00AE4B39">
              <w:rPr>
                <w:webHidden/>
              </w:rPr>
              <w:t>20</w:t>
            </w:r>
            <w:r w:rsidR="00AE4B39">
              <w:rPr>
                <w:webHidden/>
              </w:rPr>
              <w:fldChar w:fldCharType="end"/>
            </w:r>
          </w:hyperlink>
        </w:p>
        <w:p w14:paraId="1572DC76" w14:textId="0FED1590" w:rsidR="003F13E2" w:rsidRDefault="003F13E2">
          <w:r>
            <w:rPr>
              <w:b/>
              <w:bCs/>
              <w:noProof/>
            </w:rPr>
            <w:fldChar w:fldCharType="end"/>
          </w:r>
        </w:p>
      </w:sdtContent>
    </w:sdt>
    <w:p w14:paraId="6590B313" w14:textId="3F5D604D" w:rsidR="003F13E2" w:rsidRDefault="003F13E2">
      <w:pPr>
        <w:rPr>
          <w:sz w:val="48"/>
          <w:szCs w:val="48"/>
        </w:rPr>
      </w:pPr>
    </w:p>
    <w:p w14:paraId="2D7BC6BF" w14:textId="77777777" w:rsidR="003D5627" w:rsidRDefault="003D5627" w:rsidP="003D5627">
      <w:pPr>
        <w:spacing w:before="0" w:after="160" w:line="23" w:lineRule="atLeast"/>
        <w:jc w:val="center"/>
        <w:rPr>
          <w:sz w:val="48"/>
          <w:szCs w:val="48"/>
        </w:rPr>
      </w:pPr>
    </w:p>
    <w:p w14:paraId="650C542F" w14:textId="77777777" w:rsidR="003D5627" w:rsidRDefault="003D5627" w:rsidP="003D5627">
      <w:pPr>
        <w:spacing w:before="0" w:after="160" w:line="23" w:lineRule="atLeast"/>
        <w:jc w:val="center"/>
        <w:rPr>
          <w:sz w:val="48"/>
          <w:szCs w:val="48"/>
        </w:rPr>
      </w:pPr>
    </w:p>
    <w:p w14:paraId="106B20A6" w14:textId="3FAFBCBF" w:rsidR="003F13E2" w:rsidRDefault="003F13E2">
      <w:pPr>
        <w:rPr>
          <w:sz w:val="48"/>
          <w:szCs w:val="48"/>
        </w:rPr>
      </w:pPr>
      <w:r>
        <w:rPr>
          <w:sz w:val="48"/>
          <w:szCs w:val="48"/>
        </w:rPr>
        <w:br w:type="page"/>
      </w:r>
    </w:p>
    <w:p w14:paraId="53E8B065" w14:textId="4C789A36" w:rsidR="003F13E2" w:rsidRDefault="003F13E2" w:rsidP="003F13E2">
      <w:pPr>
        <w:pStyle w:val="Heading1"/>
      </w:pPr>
      <w:bookmarkStart w:id="1" w:name="_Toc127779910"/>
      <w:r>
        <w:lastRenderedPageBreak/>
        <w:t>List of Abbreviations</w:t>
      </w:r>
      <w:bookmarkEnd w:id="1"/>
    </w:p>
    <w:p w14:paraId="49C0D6DE" w14:textId="4244CA1D" w:rsidR="003F13E2" w:rsidRDefault="003F13E2" w:rsidP="003F13E2">
      <w:r>
        <w:t xml:space="preserve">CFSR: Children &amp; Family </w:t>
      </w:r>
      <w:r w:rsidR="00326B2E">
        <w:t>Services</w:t>
      </w:r>
      <w:r>
        <w:t xml:space="preserve"> Reviews</w:t>
      </w:r>
    </w:p>
    <w:p w14:paraId="3A7C3389" w14:textId="2B34016D" w:rsidR="003F13E2" w:rsidRDefault="003F13E2" w:rsidP="003F13E2">
      <w:r>
        <w:t>CBC: Community Based Care</w:t>
      </w:r>
    </w:p>
    <w:p w14:paraId="05278B51" w14:textId="79113D1E" w:rsidR="003F13E2" w:rsidRDefault="003F13E2" w:rsidP="003F13E2">
      <w:r>
        <w:t>CFOP: Children and Families Operating Procedure</w:t>
      </w:r>
    </w:p>
    <w:p w14:paraId="2562B18B" w14:textId="546FC981" w:rsidR="003F13E2" w:rsidRDefault="003F13E2" w:rsidP="003F13E2">
      <w:r>
        <w:t>FSFN: Florida Safe Families Network</w:t>
      </w:r>
    </w:p>
    <w:p w14:paraId="5F922E3B" w14:textId="6BCB0291" w:rsidR="003F13E2" w:rsidRDefault="003F13E2" w:rsidP="003F13E2">
      <w:r>
        <w:t>OHC: Out-of-Home Care</w:t>
      </w:r>
    </w:p>
    <w:p w14:paraId="662E7626" w14:textId="459927AC" w:rsidR="003F13E2" w:rsidRDefault="003F13E2" w:rsidP="003F13E2">
      <w:r>
        <w:t>PIP: Performance Improvement Plan</w:t>
      </w:r>
    </w:p>
    <w:p w14:paraId="1F93C9D4" w14:textId="03B2836A" w:rsidR="003F13E2" w:rsidRDefault="003F13E2">
      <w:r>
        <w:br w:type="page"/>
      </w:r>
    </w:p>
    <w:p w14:paraId="7268323A" w14:textId="77777777" w:rsidR="003F13E2" w:rsidRPr="003F13E2" w:rsidRDefault="003F13E2" w:rsidP="003F13E2"/>
    <w:p w14:paraId="2B56A471" w14:textId="77777777" w:rsidR="003D5627" w:rsidRDefault="003D5627" w:rsidP="003D5627">
      <w:pPr>
        <w:jc w:val="center"/>
        <w:rPr>
          <w:sz w:val="48"/>
          <w:szCs w:val="48"/>
        </w:rPr>
      </w:pPr>
    </w:p>
    <w:p w14:paraId="699B2C14" w14:textId="77777777" w:rsidR="003D5627" w:rsidRDefault="003D5627" w:rsidP="003D5627">
      <w:pPr>
        <w:jc w:val="center"/>
        <w:rPr>
          <w:sz w:val="48"/>
          <w:szCs w:val="48"/>
        </w:rPr>
      </w:pPr>
    </w:p>
    <w:p w14:paraId="1E6A78A6" w14:textId="77777777" w:rsidR="003D5627" w:rsidRDefault="003D5627" w:rsidP="003D5627">
      <w:pPr>
        <w:jc w:val="center"/>
        <w:rPr>
          <w:sz w:val="48"/>
          <w:szCs w:val="48"/>
        </w:rPr>
      </w:pPr>
    </w:p>
    <w:p w14:paraId="0FB6B620" w14:textId="77777777" w:rsidR="003D5627" w:rsidRDefault="003D5627" w:rsidP="003D5627">
      <w:pPr>
        <w:jc w:val="center"/>
        <w:rPr>
          <w:sz w:val="48"/>
          <w:szCs w:val="48"/>
        </w:rPr>
      </w:pPr>
    </w:p>
    <w:p w14:paraId="65BD6C3D" w14:textId="75A32B08" w:rsidR="003D5627" w:rsidRDefault="003D5627" w:rsidP="003D5627">
      <w:pPr>
        <w:jc w:val="center"/>
        <w:rPr>
          <w:sz w:val="48"/>
          <w:szCs w:val="48"/>
        </w:rPr>
      </w:pPr>
      <w:r>
        <w:rPr>
          <w:sz w:val="48"/>
          <w:szCs w:val="48"/>
        </w:rPr>
        <w:t>Florida Department of Children and Families</w:t>
      </w:r>
    </w:p>
    <w:p w14:paraId="2EEE4A56" w14:textId="77777777" w:rsidR="003D5627" w:rsidRDefault="003D5627" w:rsidP="003D5627">
      <w:pPr>
        <w:spacing w:before="0" w:after="160" w:line="23" w:lineRule="atLeast"/>
        <w:jc w:val="center"/>
        <w:rPr>
          <w:sz w:val="48"/>
          <w:szCs w:val="48"/>
        </w:rPr>
      </w:pPr>
      <w:r>
        <w:rPr>
          <w:sz w:val="48"/>
          <w:szCs w:val="48"/>
        </w:rPr>
        <w:t>Enterprise Metrics Guidebook:</w:t>
      </w:r>
    </w:p>
    <w:p w14:paraId="06A6877C" w14:textId="261C4AF4" w:rsidR="003D5627" w:rsidRPr="003D5627" w:rsidRDefault="00C62EB7" w:rsidP="003D5627">
      <w:pPr>
        <w:pStyle w:val="Heading1"/>
        <w:jc w:val="center"/>
        <w:rPr>
          <w:sz w:val="48"/>
          <w:szCs w:val="48"/>
        </w:rPr>
      </w:pPr>
      <w:bookmarkStart w:id="2" w:name="_Toc81913930"/>
      <w:bookmarkStart w:id="3" w:name="_Toc127779911"/>
      <w:r>
        <w:rPr>
          <w:sz w:val="48"/>
          <w:szCs w:val="48"/>
        </w:rPr>
        <w:t>Safety Metrics</w:t>
      </w:r>
      <w:bookmarkEnd w:id="2"/>
      <w:bookmarkEnd w:id="3"/>
    </w:p>
    <w:p w14:paraId="3DA8430A" w14:textId="77777777" w:rsidR="003D5627" w:rsidRPr="00D22413" w:rsidRDefault="003D5627" w:rsidP="003D5627">
      <w:pPr>
        <w:spacing w:line="23" w:lineRule="atLeast"/>
        <w:rPr>
          <w:sz w:val="48"/>
          <w:szCs w:val="48"/>
        </w:rPr>
      </w:pPr>
    </w:p>
    <w:p w14:paraId="7B20A9CD" w14:textId="77777777" w:rsidR="003D5627" w:rsidRPr="00D22413" w:rsidRDefault="003D5627" w:rsidP="003D5627">
      <w:pPr>
        <w:spacing w:line="23" w:lineRule="atLeast"/>
        <w:rPr>
          <w:sz w:val="48"/>
          <w:szCs w:val="48"/>
        </w:rPr>
      </w:pPr>
    </w:p>
    <w:p w14:paraId="2F1F0F24" w14:textId="77777777" w:rsidR="003D5627" w:rsidRPr="00D22413" w:rsidRDefault="003D5627" w:rsidP="003D5627">
      <w:pPr>
        <w:spacing w:line="23" w:lineRule="atLeast"/>
        <w:rPr>
          <w:sz w:val="48"/>
          <w:szCs w:val="48"/>
        </w:rPr>
      </w:pPr>
    </w:p>
    <w:p w14:paraId="5594A0AF" w14:textId="77777777" w:rsidR="003D5627" w:rsidRPr="00D22413" w:rsidRDefault="003D5627" w:rsidP="003D5627">
      <w:pPr>
        <w:spacing w:line="23" w:lineRule="atLeast"/>
        <w:rPr>
          <w:sz w:val="48"/>
          <w:szCs w:val="48"/>
        </w:rPr>
      </w:pPr>
    </w:p>
    <w:p w14:paraId="41E533CA" w14:textId="77777777" w:rsidR="003D5627" w:rsidRPr="00D22413" w:rsidRDefault="003D5627" w:rsidP="003D5627">
      <w:pPr>
        <w:spacing w:line="23" w:lineRule="atLeast"/>
        <w:rPr>
          <w:sz w:val="48"/>
          <w:szCs w:val="48"/>
        </w:rPr>
      </w:pPr>
    </w:p>
    <w:p w14:paraId="11009A89" w14:textId="77777777" w:rsidR="003D5627" w:rsidRPr="00D22413" w:rsidRDefault="003D5627" w:rsidP="003D5627">
      <w:pPr>
        <w:spacing w:line="23" w:lineRule="atLeast"/>
        <w:rPr>
          <w:sz w:val="48"/>
          <w:szCs w:val="48"/>
        </w:rPr>
      </w:pPr>
    </w:p>
    <w:p w14:paraId="5F353E8D" w14:textId="77777777" w:rsidR="003D5627" w:rsidRPr="00D22413" w:rsidRDefault="003D5627" w:rsidP="003D5627">
      <w:pPr>
        <w:spacing w:line="23" w:lineRule="atLeast"/>
        <w:rPr>
          <w:sz w:val="48"/>
          <w:szCs w:val="48"/>
        </w:rPr>
      </w:pPr>
    </w:p>
    <w:p w14:paraId="18AD9DB0" w14:textId="77777777" w:rsidR="003D5627" w:rsidRDefault="003D5627" w:rsidP="003D5627">
      <w:pPr>
        <w:pStyle w:val="Header"/>
        <w:tabs>
          <w:tab w:val="left" w:pos="2430"/>
        </w:tabs>
        <w:spacing w:line="23" w:lineRule="atLeast"/>
        <w:jc w:val="right"/>
        <w:rPr>
          <w:sz w:val="18"/>
          <w:szCs w:val="18"/>
        </w:rPr>
      </w:pPr>
    </w:p>
    <w:p w14:paraId="57872315" w14:textId="77777777" w:rsidR="003D5627" w:rsidRDefault="003D5627" w:rsidP="003D5627">
      <w:pPr>
        <w:pStyle w:val="Header"/>
        <w:tabs>
          <w:tab w:val="left" w:pos="2430"/>
        </w:tabs>
        <w:spacing w:line="23" w:lineRule="atLeast"/>
        <w:jc w:val="right"/>
        <w:rPr>
          <w:sz w:val="18"/>
          <w:szCs w:val="18"/>
        </w:rPr>
      </w:pPr>
    </w:p>
    <w:p w14:paraId="6E6CF9F0" w14:textId="5AAD3FB7" w:rsidR="003D5627" w:rsidRDefault="003D5627" w:rsidP="003D5627">
      <w:pPr>
        <w:jc w:val="right"/>
        <w:rPr>
          <w:rFonts w:eastAsiaTheme="majorEastAsia" w:cs="Arial"/>
          <w:b/>
          <w:bCs/>
          <w:sz w:val="28"/>
          <w:szCs w:val="28"/>
        </w:rPr>
      </w:pPr>
      <w:r>
        <w:br w:type="page"/>
      </w:r>
    </w:p>
    <w:p w14:paraId="5D16B890" w14:textId="77777777" w:rsidR="00A3276A" w:rsidRDefault="00A3276A" w:rsidP="00A3276A">
      <w:pPr>
        <w:spacing w:after="0" w:line="240" w:lineRule="auto"/>
      </w:pPr>
      <w:bookmarkStart w:id="4" w:name="System"/>
      <w:bookmarkEnd w:id="0"/>
    </w:p>
    <w:p w14:paraId="4BB3640C" w14:textId="77777777" w:rsidR="00A3276A" w:rsidRPr="00E8108E" w:rsidRDefault="00A3276A" w:rsidP="00A3276A">
      <w:pPr>
        <w:pStyle w:val="Heading1"/>
        <w:rPr>
          <w:szCs w:val="22"/>
        </w:rPr>
      </w:pPr>
      <w:bookmarkStart w:id="5" w:name="_Toc51677229"/>
      <w:bookmarkStart w:id="6" w:name="_Toc81913932"/>
      <w:bookmarkStart w:id="7" w:name="_Toc127779912"/>
      <w:r>
        <w:rPr>
          <w:szCs w:val="22"/>
        </w:rPr>
        <w:t>Percentage of Children with No Recurrence of Verified Maltreatment within Twelve Months of a Prior Verified Maltreatment</w:t>
      </w:r>
      <w:bookmarkEnd w:id="5"/>
      <w:bookmarkEnd w:id="6"/>
      <w:bookmarkEnd w:id="7"/>
    </w:p>
    <w:p w14:paraId="3C12043D" w14:textId="77777777" w:rsidR="00A3276A" w:rsidRPr="00EB3223" w:rsidRDefault="00A3276A" w:rsidP="00A3276A">
      <w:r w:rsidRPr="001A11DA">
        <w:rPr>
          <w:b/>
          <w:bCs/>
        </w:rPr>
        <w:t>Ownership</w:t>
      </w:r>
      <w:r>
        <w:rPr>
          <w:b/>
          <w:bCs/>
        </w:rPr>
        <w:t xml:space="preserve">: </w:t>
      </w:r>
      <w:r>
        <w:t>The child welfare system as a whole, including investigators, case managers, and legal representatives.</w:t>
      </w:r>
    </w:p>
    <w:p w14:paraId="1A3976DF" w14:textId="77777777" w:rsidR="00A3276A" w:rsidRDefault="00A3276A" w:rsidP="00A3276A">
      <w:r w:rsidRPr="009A2E54">
        <w:rPr>
          <w:b/>
          <w:bCs/>
        </w:rPr>
        <w:t>Description:</w:t>
      </w:r>
      <w:r>
        <w:t xml:space="preserve"> This is the percentage of children who were victims of a verified maltreatment who were not victims in a subsequent report of a verified maltreatment within twelve months of the initial report. This measure is a federal indicator. This measure is an important indicator of the extent to which agencies are effective in providing for the continuing safety of children and for their ability to establish an environment for children that remains safe. Florida Statutes (409.986(2(a)) states that the goal of the Department is first and foremost to protect children from abuse and neglect. As stated in CFOP 170-1, the mission of the Department of Children and Families is to protect the vulnerable, with the child welfare system designed to determine whether children are safe and provide the appropriate interventions and infrastructures to achieve safety, permanency, and well-being. Per Florida Statute (827.03(2)), the abuse or neglect of a child is a felony, the severity of which determining whether it is a felony of the first, second, or third degree.  </w:t>
      </w:r>
    </w:p>
    <w:p w14:paraId="29921344" w14:textId="77777777" w:rsidR="00A3276A" w:rsidRDefault="00A3276A" w:rsidP="00A3276A">
      <w:r w:rsidRPr="009A2E54">
        <w:rPr>
          <w:b/>
          <w:bCs/>
        </w:rPr>
        <w:t>Research Base:</w:t>
      </w:r>
      <w:r w:rsidRPr="00083FAA">
        <w:t xml:space="preserve"> </w:t>
      </w:r>
      <w:r>
        <w:t xml:space="preserve">In child protection services, multiple maltreatment recurrences has been a concern drawing increased attention because of its persistent harm to the children and the need to consider more effective intervention strategies to meets its unique needs. Children with prior involvement with child protective services are more likely to have re-reports and recurrence than children without prior involvement (Casanueva, C. et al, 2015), though research has indicated that developing responsive intervention strategies can impact the trend of chronic maltreatment (Zhang, S., et al, 2013).  </w:t>
      </w:r>
      <w:r w:rsidRPr="00083FAA">
        <w:t xml:space="preserve"> </w:t>
      </w:r>
    </w:p>
    <w:p w14:paraId="63F9F1C4" w14:textId="77777777" w:rsidR="00A3276A" w:rsidRDefault="00A3276A" w:rsidP="00A3276A">
      <w:r>
        <w:rPr>
          <w:b/>
          <w:bCs/>
        </w:rPr>
        <w:t>Report Period</w:t>
      </w:r>
      <w:r w:rsidRPr="009A2E54">
        <w:rPr>
          <w:b/>
          <w:bCs/>
        </w:rPr>
        <w:t xml:space="preserve">: </w:t>
      </w:r>
      <w:r w:rsidRPr="009A2E54">
        <w:t xml:space="preserve"> </w:t>
      </w:r>
      <w:r>
        <w:t>The month ending fifteen months prior to the end of the report month (e.g. June 1, 2019 to June 20, 2019 for the report month ending September 20, 2020)</w:t>
      </w:r>
    </w:p>
    <w:p w14:paraId="06BCD2C9" w14:textId="77777777" w:rsidR="00A3276A" w:rsidRPr="00F419AE" w:rsidRDefault="00A3276A" w:rsidP="00A3276A">
      <w:r>
        <w:rPr>
          <w:b/>
          <w:bCs/>
        </w:rPr>
        <w:t>Source:</w:t>
      </w:r>
      <w:r>
        <w:t xml:space="preserve"> FSFN, Report #1227</w:t>
      </w:r>
    </w:p>
    <w:p w14:paraId="14EF0FAF" w14:textId="77777777" w:rsidR="00A3276A" w:rsidRDefault="00A3276A" w:rsidP="00A3276A">
      <w:pPr>
        <w:rPr>
          <w:b/>
          <w:bCs/>
        </w:rPr>
      </w:pPr>
      <w:r>
        <w:rPr>
          <w:b/>
          <w:bCs/>
        </w:rPr>
        <w:t xml:space="preserve">Calculation: </w:t>
      </w:r>
    </w:p>
    <w:p w14:paraId="32397BED" w14:textId="77777777" w:rsidR="00A3276A" w:rsidRPr="00D27273" w:rsidRDefault="00000000" w:rsidP="00A3276A">
      <w:pPr>
        <w:rPr>
          <w:b/>
          <w:i/>
        </w:rPr>
      </w:pPr>
      <m:oMathPara>
        <m:oMath>
          <m:f>
            <m:fPr>
              <m:ctrlPr>
                <w:rPr>
                  <w:rFonts w:ascii="Cambria Math" w:hAnsi="Cambria Math"/>
                  <w:b/>
                  <w:i/>
                </w:rPr>
              </m:ctrlPr>
            </m:fPr>
            <m:num>
              <m:eqArr>
                <m:eqArrPr>
                  <m:ctrlPr>
                    <w:rPr>
                      <w:rFonts w:ascii="Cambria Math" w:hAnsi="Cambria Math"/>
                      <w:b/>
                      <w:i/>
                    </w:rPr>
                  </m:ctrlPr>
                </m:eqArrPr>
                <m:e>
                  <m:r>
                    <m:rPr>
                      <m:sty m:val="bi"/>
                    </m:rPr>
                    <w:rPr>
                      <w:rFonts w:ascii="Cambria Math" w:hAnsi="Cambria Math"/>
                    </w:rPr>
                    <m:t>The number of children who did not have a subsequent verified</m:t>
                  </m:r>
                </m:e>
                <m:e>
                  <m:r>
                    <m:rPr>
                      <m:sty m:val="bi"/>
                    </m:rPr>
                    <w:rPr>
                      <w:rFonts w:ascii="Cambria Math" w:hAnsi="Cambria Math"/>
                    </w:rPr>
                    <m:t xml:space="preserve"> maltreatment within twelve months of the initial report</m:t>
                  </m:r>
                </m:e>
              </m:eqArr>
            </m:num>
            <m:den>
              <m:eqArr>
                <m:eqArrPr>
                  <m:ctrlPr>
                    <w:rPr>
                      <w:rFonts w:ascii="Cambria Math" w:hAnsi="Cambria Math" w:cs="Cambria Math"/>
                      <w:b/>
                      <w:i/>
                    </w:rPr>
                  </m:ctrlPr>
                </m:eqArrPr>
                <m:e>
                  <m:r>
                    <m:rPr>
                      <m:sty m:val="bi"/>
                    </m:rPr>
                    <w:rPr>
                      <w:rFonts w:ascii="Cambria Math" w:hAnsi="Cambria Math" w:cs="Cambria Math"/>
                    </w:rPr>
                    <m:t xml:space="preserve">Total number of children with a verified maltreatment </m:t>
                  </m:r>
                </m:e>
                <m:e>
                  <m:r>
                    <m:rPr>
                      <m:sty m:val="bi"/>
                    </m:rPr>
                    <w:rPr>
                      <w:rFonts w:ascii="Cambria Math" w:hAnsi="Cambria Math" w:cs="Cambria Math"/>
                    </w:rPr>
                    <m:t>of abuse or neglect during the report period</m:t>
                  </m:r>
                </m:e>
              </m:eqArr>
            </m:den>
          </m:f>
        </m:oMath>
      </m:oMathPara>
    </w:p>
    <w:p w14:paraId="6253F449" w14:textId="6675A8C2" w:rsidR="00A3276A" w:rsidRPr="00D950BB" w:rsidRDefault="000842C2" w:rsidP="00A3276A">
      <w:r>
        <w:rPr>
          <w:b/>
          <w:bCs/>
        </w:rPr>
        <w:t>Standard</w:t>
      </w:r>
      <w:r w:rsidR="00A3276A" w:rsidRPr="009A2E54">
        <w:rPr>
          <w:b/>
          <w:bCs/>
        </w:rPr>
        <w:t>:</w:t>
      </w:r>
      <w:r w:rsidR="00A3276A">
        <w:t xml:space="preserve">  90.</w:t>
      </w:r>
      <w:r w:rsidR="00DE13AC">
        <w:t>3</w:t>
      </w:r>
      <w:r w:rsidR="00A3276A">
        <w:t>%, based on national standards.</w:t>
      </w:r>
    </w:p>
    <w:p w14:paraId="35F1CF49" w14:textId="77777777" w:rsidR="00A3276A" w:rsidRDefault="00A3276A" w:rsidP="00A3276A"/>
    <w:p w14:paraId="18A9E995" w14:textId="35B57C65" w:rsidR="00C62EB7" w:rsidRDefault="00A3276A">
      <w:r>
        <w:br w:type="page"/>
      </w:r>
    </w:p>
    <w:p w14:paraId="0EF07952" w14:textId="46C9CBCB" w:rsidR="00F42AFA" w:rsidRDefault="00F42AFA"/>
    <w:p w14:paraId="1BF7E375" w14:textId="77777777" w:rsidR="00A3276A" w:rsidRDefault="00A3276A" w:rsidP="00A3276A">
      <w:pPr>
        <w:spacing w:after="0" w:line="240" w:lineRule="auto"/>
      </w:pPr>
    </w:p>
    <w:p w14:paraId="74A8A347" w14:textId="79ED7CC7" w:rsidR="00F42AFA" w:rsidRPr="00042C7E" w:rsidRDefault="007465E3" w:rsidP="00F42AFA">
      <w:pPr>
        <w:pStyle w:val="Heading1"/>
      </w:pPr>
      <w:bookmarkStart w:id="8" w:name="_Toc81913941"/>
      <w:bookmarkStart w:id="9" w:name="_Toc127779913"/>
      <w:r>
        <w:t>Rate of</w:t>
      </w:r>
      <w:r w:rsidR="00F42AFA">
        <w:t xml:space="preserve"> Children Not Abused During Out-of-Home Care</w:t>
      </w:r>
      <w:bookmarkEnd w:id="8"/>
      <w:bookmarkEnd w:id="9"/>
    </w:p>
    <w:p w14:paraId="048CD0E2" w14:textId="77777777" w:rsidR="00F42AFA" w:rsidRPr="00ED6EAA" w:rsidRDefault="00F42AFA" w:rsidP="00F42AFA">
      <w:pPr>
        <w:spacing w:line="23" w:lineRule="atLeast"/>
      </w:pPr>
      <w:r w:rsidRPr="001A11DA">
        <w:rPr>
          <w:b/>
          <w:bCs/>
        </w:rPr>
        <w:t>Ownership</w:t>
      </w:r>
      <w:r>
        <w:rPr>
          <w:b/>
          <w:bCs/>
        </w:rPr>
        <w:t xml:space="preserve">:  </w:t>
      </w:r>
      <w:r>
        <w:t>The case management program is responsible for ensuring that children are not abused while in out-of-home care.</w:t>
      </w:r>
    </w:p>
    <w:p w14:paraId="29362BC5" w14:textId="77777777" w:rsidR="00F42AFA" w:rsidRDefault="00F42AFA" w:rsidP="00F42AFA">
      <w:r w:rsidRPr="009A2E54">
        <w:rPr>
          <w:b/>
          <w:bCs/>
        </w:rPr>
        <w:t>Description:</w:t>
      </w:r>
      <w:r>
        <w:t xml:space="preserve">  This is the rate at which children are the victims of abuse or neglect while in foster care during the report period. Florida Statutes (409.986(2)(a) states that the goal of the Department is first and foremost to protect children from abuse and neglect. This measure is an important indicator of the extent to which agencies are effective in providing for the continuing safety of children under their care. At the national level, the Children's Bureau developed a series of seven (7) statewide data indicators for the Safety and Permanency of children involved with state child welfare agencies.  These are collected via AFCARS reports and summarized annually on a national basis as an indicator of statewide performance. This measure is one of the seven.  </w:t>
      </w:r>
    </w:p>
    <w:p w14:paraId="1E39EADA" w14:textId="77777777" w:rsidR="00F42AFA" w:rsidRDefault="00F42AFA" w:rsidP="00F42AFA">
      <w:r w:rsidRPr="009A2E54">
        <w:rPr>
          <w:b/>
          <w:bCs/>
        </w:rPr>
        <w:t>Research Base:</w:t>
      </w:r>
      <w:r w:rsidRPr="00083FAA">
        <w:t xml:space="preserve">  </w:t>
      </w:r>
      <w:r>
        <w:t>Numerous studies have outlined the negative outcomes associated with abuse in children, including long-term health status, such as increased risk for diabetes, lung disease, malnutrition, and vision problems (Widom, C., et al, 2012), mental disorders (Turner, S. et al., 2017), drug use (Widom, C., et al., 2012), suicide attempts (Michael, S., et al., 2016), and domestic violence (Machisa, M., et al, 2016). Additionally, in a systematic review of studies investigating the outcomes of child abuse in long-term care, there were significant associations between the experience of child abuse in long-term care and adjustment across the life span in the domains of mental health, physical health, and psychosocial adjustment.</w:t>
      </w:r>
    </w:p>
    <w:p w14:paraId="2EF36F35" w14:textId="77777777" w:rsidR="00F42AFA" w:rsidRDefault="00F42AFA" w:rsidP="00F42AFA">
      <w:r>
        <w:rPr>
          <w:b/>
          <w:bCs/>
        </w:rPr>
        <w:t>Report Period</w:t>
      </w:r>
      <w:r w:rsidRPr="009A2E54">
        <w:rPr>
          <w:b/>
          <w:bCs/>
        </w:rPr>
        <w:t xml:space="preserve">: </w:t>
      </w:r>
      <w:r w:rsidRPr="009A2E54">
        <w:t xml:space="preserve"> </w:t>
      </w:r>
      <w:r>
        <w:t>The month ending three months prior to the report month to allow for verification of abuse.</w:t>
      </w:r>
    </w:p>
    <w:p w14:paraId="4BFE1F11" w14:textId="73059AEE" w:rsidR="00F42AFA" w:rsidRPr="00532E2F" w:rsidRDefault="00F42AFA" w:rsidP="00F42AFA">
      <w:r>
        <w:rPr>
          <w:b/>
          <w:bCs/>
        </w:rPr>
        <w:t xml:space="preserve">Source: </w:t>
      </w:r>
      <w:r>
        <w:t>FSFN</w:t>
      </w:r>
      <w:r w:rsidR="00FD39D2">
        <w:t>,</w:t>
      </w:r>
      <w:r>
        <w:t xml:space="preserve"> Report #1107</w:t>
      </w:r>
    </w:p>
    <w:p w14:paraId="6EFAAEB5" w14:textId="77777777" w:rsidR="00F42AFA" w:rsidRDefault="00F42AFA" w:rsidP="00F42AFA">
      <w:pPr>
        <w:rPr>
          <w:b/>
          <w:bCs/>
        </w:rPr>
      </w:pPr>
      <w:r>
        <w:rPr>
          <w:b/>
          <w:bCs/>
        </w:rPr>
        <w:t>Calculation:</w:t>
      </w:r>
    </w:p>
    <w:p w14:paraId="220D464C" w14:textId="7D5424F1" w:rsidR="00F42AFA" w:rsidRDefault="00000000" w:rsidP="00F42AFA">
      <w:pPr>
        <w:rPr>
          <w:b/>
          <w:bCs/>
        </w:rPr>
      </w:pPr>
      <m:oMath>
        <m:d>
          <m:dPr>
            <m:ctrlPr>
              <w:rPr>
                <w:rFonts w:ascii="Cambria Math" w:hAnsi="Cambria Math"/>
                <w:b/>
                <w:bCs/>
                <w:i/>
              </w:rPr>
            </m:ctrlPr>
          </m:dPr>
          <m:e>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The total number of reports received with at least one instance of verified</m:t>
                    </m:r>
                  </m:e>
                  <m:e>
                    <m:r>
                      <m:rPr>
                        <m:sty m:val="bi"/>
                      </m:rPr>
                      <w:rPr>
                        <w:rFonts w:ascii="Cambria Math" w:hAnsi="Cambria Math"/>
                      </w:rPr>
                      <m:t>maltreatment during the report period and while the child was receiving services</m:t>
                    </m:r>
                  </m:e>
                </m:eqArr>
              </m:num>
              <m:den>
                <m:eqArr>
                  <m:eqArrPr>
                    <m:ctrlPr>
                      <w:rPr>
                        <w:rFonts w:ascii="Cambria Math" w:hAnsi="Cambria Math"/>
                        <w:b/>
                        <w:i/>
                      </w:rPr>
                    </m:ctrlPr>
                  </m:eqArrPr>
                  <m:e>
                    <m:r>
                      <m:rPr>
                        <m:sty m:val="bi"/>
                      </m:rPr>
                      <w:rPr>
                        <w:rFonts w:ascii="Cambria Math" w:hAnsi="Cambria Math"/>
                      </w:rPr>
                      <m:t>Total number of days for all children receiving out-of-home</m:t>
                    </m:r>
                  </m:e>
                  <m:e>
                    <m:r>
                      <m:rPr>
                        <m:sty m:val="bi"/>
                      </m:rPr>
                      <w:rPr>
                        <w:rFonts w:ascii="Cambria Math" w:hAnsi="Cambria Math"/>
                      </w:rPr>
                      <m:t>services</m:t>
                    </m:r>
                  </m:e>
                </m:eqArr>
              </m:den>
            </m:f>
          </m:e>
        </m:d>
      </m:oMath>
      <w:r w:rsidR="002F13BE">
        <w:rPr>
          <w:rFonts w:eastAsiaTheme="minorEastAsia"/>
          <w:b/>
          <w:bCs/>
        </w:rPr>
        <w:t>*100,000</w:t>
      </w:r>
    </w:p>
    <w:p w14:paraId="724EA4DA" w14:textId="68331FBA" w:rsidR="00F42AFA" w:rsidRPr="000168B6" w:rsidRDefault="000842C2" w:rsidP="00F42AFA">
      <w:r>
        <w:rPr>
          <w:b/>
          <w:bCs/>
        </w:rPr>
        <w:t>Standard</w:t>
      </w:r>
      <w:r w:rsidR="00F42AFA" w:rsidRPr="009A2E54">
        <w:rPr>
          <w:b/>
          <w:bCs/>
        </w:rPr>
        <w:t>:</w:t>
      </w:r>
      <w:r w:rsidR="00F42AFA">
        <w:t xml:space="preserve">  </w:t>
      </w:r>
      <w:r w:rsidR="007465E3">
        <w:t>&lt;9.07,</w:t>
      </w:r>
      <w:r w:rsidR="00F42AFA">
        <w:t xml:space="preserve"> based on national </w:t>
      </w:r>
      <w:r>
        <w:t>standard</w:t>
      </w:r>
      <w:r w:rsidR="00F42AFA">
        <w:t>s</w:t>
      </w:r>
    </w:p>
    <w:p w14:paraId="4E1737D4" w14:textId="77777777" w:rsidR="00F42AFA" w:rsidRDefault="00F42AFA" w:rsidP="00F42AFA">
      <w:r>
        <w:rPr>
          <w:color w:val="2E74B5" w:themeColor="accent1" w:themeShade="BF"/>
        </w:rPr>
        <w:br w:type="page"/>
      </w:r>
    </w:p>
    <w:p w14:paraId="6BC5AAF0" w14:textId="77777777" w:rsidR="00F42AFA" w:rsidRPr="00DE1C37" w:rsidRDefault="00F42AFA" w:rsidP="00F42AFA">
      <w:pPr>
        <w:pStyle w:val="Heading1"/>
        <w:spacing w:line="23" w:lineRule="atLeast"/>
      </w:pPr>
      <w:bookmarkStart w:id="10" w:name="_Toc50665894"/>
      <w:bookmarkStart w:id="11" w:name="_Toc81913942"/>
      <w:bookmarkStart w:id="12" w:name="_Toc127779914"/>
      <w:bookmarkStart w:id="13" w:name="_Hlk48288432"/>
      <w:r w:rsidRPr="00DE1C37">
        <w:lastRenderedPageBreak/>
        <w:t>Percentage of Children Not Abused During In-Home Services</w:t>
      </w:r>
      <w:bookmarkEnd w:id="10"/>
      <w:bookmarkEnd w:id="11"/>
      <w:bookmarkEnd w:id="12"/>
    </w:p>
    <w:bookmarkEnd w:id="13"/>
    <w:p w14:paraId="193B9ABF" w14:textId="77777777" w:rsidR="00F42AFA" w:rsidRPr="00A0575C" w:rsidRDefault="00F42AFA" w:rsidP="00F42AFA">
      <w:pPr>
        <w:spacing w:line="23" w:lineRule="atLeast"/>
      </w:pPr>
      <w:r w:rsidRPr="001A11DA">
        <w:rPr>
          <w:b/>
          <w:bCs/>
        </w:rPr>
        <w:t>Ownership</w:t>
      </w:r>
      <w:r>
        <w:rPr>
          <w:b/>
          <w:bCs/>
        </w:rPr>
        <w:t xml:space="preserve">: </w:t>
      </w:r>
      <w:r>
        <w:t>The case management program is responsible for ensuring that children are not abused while receiving in-home services.</w:t>
      </w:r>
    </w:p>
    <w:p w14:paraId="1EAC580C" w14:textId="77777777" w:rsidR="00F42AFA" w:rsidRDefault="00F42AFA" w:rsidP="00F42AFA">
      <w:pPr>
        <w:spacing w:line="23" w:lineRule="atLeast"/>
      </w:pPr>
      <w:r w:rsidRPr="009A2E54">
        <w:rPr>
          <w:b/>
          <w:bCs/>
        </w:rPr>
        <w:t>Description:</w:t>
      </w:r>
      <w:r w:rsidRPr="00CC645B">
        <w:t xml:space="preserve"> </w:t>
      </w:r>
      <w:r>
        <w:t>This is the percentage of children that did not have a verified case of abuse or neglect while receiving in-home services. This measure is an important indicator of the extent to which agencies are effective in providing for the continuing safety of children in families engaged in services. Florida Statute (409.986(2)(a)) states that the goal of the Department is first and foremost to protect children from abuse and neglect. Safety, permanency, and well-being are the three central goals for the Florida child welfare program. As stated in the CFOP 170-1, the mission of the Department of Children and Families is to protect the vulnerable, with the child welfare system designed to determine whether children are safe and provide the appropriate interventions to achieve safety, permanency, and well-being. CFOP 170-7, Chapter 11, requires that "The primary child welfare professional responsible for the case will continuously monitor and assess the family’s condition and dynamics to inform ongoing safety planning and plan modification in order to ensure that children remain safe in the home.</w:t>
      </w:r>
    </w:p>
    <w:p w14:paraId="54BA82D9" w14:textId="77777777" w:rsidR="00F42AFA" w:rsidRDefault="00F42AFA" w:rsidP="00F42AFA">
      <w:pPr>
        <w:spacing w:line="23" w:lineRule="atLeast"/>
      </w:pPr>
      <w:r w:rsidRPr="009A2E54">
        <w:rPr>
          <w:b/>
          <w:bCs/>
        </w:rPr>
        <w:t>Research Base:</w:t>
      </w:r>
      <w:r w:rsidRPr="00083FAA">
        <w:t xml:space="preserve">  </w:t>
      </w:r>
      <w:r>
        <w:t xml:space="preserve">Numerous studies have outlined the negative outcomes associated with abuse in children, including long-term health status, such as increased risk for diabetes, lung disease, malnutrition, and vision problems (Widom, C., et al, 2012), mental disorders (Turner, S. et al., 2017), drug use (Widom, C., et al., 2012), suicide attempts (Michael, S., et al., 2016), and domestic violence (Machisa, M., et al, 2016). </w:t>
      </w:r>
    </w:p>
    <w:p w14:paraId="123AAB68" w14:textId="77777777" w:rsidR="00F42AFA" w:rsidRDefault="00F42AFA" w:rsidP="00F42AFA">
      <w:pPr>
        <w:spacing w:line="23" w:lineRule="atLeast"/>
      </w:pPr>
      <w:r>
        <w:rPr>
          <w:b/>
          <w:bCs/>
        </w:rPr>
        <w:t>Report Period</w:t>
      </w:r>
      <w:r w:rsidRPr="009A2E54">
        <w:rPr>
          <w:b/>
          <w:bCs/>
        </w:rPr>
        <w:t xml:space="preserve">: </w:t>
      </w:r>
      <w:r w:rsidRPr="009A2E54">
        <w:t xml:space="preserve"> </w:t>
      </w:r>
      <w:r>
        <w:t>The month ending three months prior to the report month to allow for verification of abuse.</w:t>
      </w:r>
    </w:p>
    <w:p w14:paraId="6FCE6FD2" w14:textId="391583CA" w:rsidR="00F42AFA" w:rsidRPr="00532E2F" w:rsidRDefault="00F42AFA" w:rsidP="00F42AFA">
      <w:pPr>
        <w:spacing w:line="23" w:lineRule="atLeast"/>
      </w:pPr>
      <w:r>
        <w:rPr>
          <w:b/>
          <w:bCs/>
        </w:rPr>
        <w:t xml:space="preserve">Source: </w:t>
      </w:r>
      <w:r>
        <w:t>FSFN</w:t>
      </w:r>
      <w:r w:rsidR="00FD39D2">
        <w:t>,</w:t>
      </w:r>
      <w:r>
        <w:t xml:space="preserve"> Report #1107</w:t>
      </w:r>
    </w:p>
    <w:p w14:paraId="5DA4D096" w14:textId="77777777" w:rsidR="00F42AFA" w:rsidRDefault="00F42AFA" w:rsidP="00F42AFA">
      <w:pPr>
        <w:spacing w:line="23" w:lineRule="atLeast"/>
        <w:rPr>
          <w:b/>
          <w:bCs/>
        </w:rPr>
      </w:pPr>
      <w:r>
        <w:rPr>
          <w:b/>
          <w:bCs/>
        </w:rPr>
        <w:t>Calculation:</w:t>
      </w:r>
    </w:p>
    <w:p w14:paraId="16E2E9BB" w14:textId="77777777" w:rsidR="00F42AFA" w:rsidRPr="00500C44" w:rsidRDefault="00000000" w:rsidP="00F42AFA">
      <w:pPr>
        <w:spacing w:line="23" w:lineRule="atLeast"/>
        <w:rPr>
          <w:rFonts w:eastAsiaTheme="minorEastAsia"/>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number of children that did not have a verified instance </m:t>
                  </m:r>
                </m:e>
                <m:e>
                  <m:r>
                    <m:rPr>
                      <m:sty m:val="bi"/>
                    </m:rPr>
                    <w:rPr>
                      <w:rFonts w:ascii="Cambria Math" w:hAnsi="Cambria Math"/>
                    </w:rPr>
                    <m:t>of abuse or neglect while receiving in-home services</m:t>
                  </m:r>
                </m:e>
              </m:eqArr>
            </m:num>
            <m:den>
              <m:r>
                <m:rPr>
                  <m:sty m:val="bi"/>
                </m:rPr>
                <w:rPr>
                  <w:rFonts w:ascii="Cambria Math" w:hAnsi="Cambria Math"/>
                </w:rPr>
                <m:t>Total number of children who received in-home services</m:t>
              </m:r>
            </m:den>
          </m:f>
        </m:oMath>
      </m:oMathPara>
    </w:p>
    <w:p w14:paraId="1A2D593E" w14:textId="46FE1190" w:rsidR="00F42AFA" w:rsidRDefault="000842C2" w:rsidP="00F42AFA">
      <w:pPr>
        <w:spacing w:line="23" w:lineRule="atLeast"/>
      </w:pPr>
      <w:r>
        <w:rPr>
          <w:b/>
          <w:bCs/>
        </w:rPr>
        <w:t>Standard</w:t>
      </w:r>
      <w:r w:rsidR="00F42AFA" w:rsidRPr="009A2E54">
        <w:rPr>
          <w:b/>
          <w:bCs/>
        </w:rPr>
        <w:t>:</w:t>
      </w:r>
      <w:r w:rsidR="00F42AFA">
        <w:t xml:space="preserve">  98%, </w:t>
      </w:r>
      <w:r>
        <w:t>state target</w:t>
      </w:r>
    </w:p>
    <w:p w14:paraId="6B57556D" w14:textId="77777777" w:rsidR="001C0779" w:rsidRDefault="001C0779">
      <w:r>
        <w:br w:type="page"/>
      </w:r>
    </w:p>
    <w:p w14:paraId="0911FC14" w14:textId="77777777" w:rsidR="002F13BE" w:rsidRDefault="001C0779" w:rsidP="001C0779">
      <w:pPr>
        <w:pStyle w:val="Heading1"/>
      </w:pPr>
      <w:bookmarkStart w:id="14" w:name="_Toc127779915"/>
      <w:r>
        <w:lastRenderedPageBreak/>
        <w:t>Qualitative Index for Safety</w:t>
      </w:r>
      <w:bookmarkEnd w:id="14"/>
    </w:p>
    <w:p w14:paraId="12004C62" w14:textId="024B9BB8" w:rsidR="002F13BE" w:rsidRDefault="002F13BE" w:rsidP="002F13BE">
      <w:pPr>
        <w:spacing w:line="23" w:lineRule="atLeast"/>
      </w:pPr>
      <w:r w:rsidRPr="009A2E54">
        <w:rPr>
          <w:b/>
          <w:bCs/>
        </w:rPr>
        <w:t>Description:</w:t>
      </w:r>
      <w:r w:rsidRPr="00CC645B">
        <w:t xml:space="preserve"> </w:t>
      </w:r>
      <w:r>
        <w:t>This is the overall performance on safety related items, items 1-3, on the Life of Case Investigations and Life of Case On-Going Services tools.</w:t>
      </w:r>
    </w:p>
    <w:p w14:paraId="12295E28" w14:textId="36F8A90F" w:rsidR="002F13BE" w:rsidRDefault="002F13BE" w:rsidP="002F13BE">
      <w:pPr>
        <w:spacing w:line="23" w:lineRule="atLeast"/>
      </w:pPr>
      <w:r>
        <w:rPr>
          <w:b/>
          <w:bCs/>
        </w:rPr>
        <w:t>Report Period</w:t>
      </w:r>
      <w:r w:rsidRPr="009A2E54">
        <w:rPr>
          <w:b/>
          <w:bCs/>
        </w:rPr>
        <w:t xml:space="preserve">: </w:t>
      </w:r>
      <w:r w:rsidRPr="009A2E54">
        <w:t xml:space="preserve"> </w:t>
      </w:r>
      <w:r>
        <w:t>The last day of the month at the end of the report month</w:t>
      </w:r>
    </w:p>
    <w:p w14:paraId="580DEA37" w14:textId="5057881C" w:rsidR="002F13BE" w:rsidRDefault="002F13BE" w:rsidP="002F13BE">
      <w:pPr>
        <w:spacing w:line="23" w:lineRule="atLeast"/>
      </w:pPr>
      <w:r>
        <w:rPr>
          <w:b/>
          <w:bCs/>
        </w:rPr>
        <w:t xml:space="preserve">Source: </w:t>
      </w:r>
      <w:r>
        <w:t xml:space="preserve">Life of Case Investigations and Life of Case On-Going Services Review Tool. </w:t>
      </w:r>
    </w:p>
    <w:p w14:paraId="345E4765" w14:textId="747ADD01" w:rsidR="002F13BE" w:rsidRPr="002F13BE" w:rsidRDefault="002F13BE" w:rsidP="001868AC">
      <w:pPr>
        <w:spacing w:before="0" w:after="0" w:line="240" w:lineRule="auto"/>
        <w:rPr>
          <w:b/>
          <w:bCs/>
        </w:rPr>
      </w:pPr>
      <w:r w:rsidRPr="002F13BE">
        <w:rPr>
          <w:b/>
          <w:bCs/>
        </w:rPr>
        <w:t>Item 1:</w:t>
      </w:r>
      <w:r w:rsidR="0075677B">
        <w:rPr>
          <w:b/>
          <w:bCs/>
        </w:rPr>
        <w:t xml:space="preserve"> </w:t>
      </w:r>
      <w:r w:rsidR="0075677B" w:rsidRPr="0075677B">
        <w:rPr>
          <w:b/>
          <w:bCs/>
        </w:rPr>
        <w:t>Timeliness of seeing children in an investigation</w:t>
      </w:r>
    </w:p>
    <w:p w14:paraId="490D6EC4" w14:textId="20A350C5" w:rsidR="002F13BE" w:rsidRDefault="002F13BE" w:rsidP="001868AC">
      <w:pPr>
        <w:pStyle w:val="ListParagraph"/>
        <w:numPr>
          <w:ilvl w:val="0"/>
          <w:numId w:val="4"/>
        </w:numPr>
        <w:spacing w:before="0" w:after="0" w:line="240" w:lineRule="auto"/>
      </w:pPr>
      <w:r>
        <w:t>Investigations Questions:</w:t>
      </w:r>
    </w:p>
    <w:p w14:paraId="3A625C1B" w14:textId="7830A520" w:rsidR="002F13BE" w:rsidRDefault="002F13BE" w:rsidP="001868AC">
      <w:pPr>
        <w:pStyle w:val="ListParagraph"/>
        <w:numPr>
          <w:ilvl w:val="1"/>
          <w:numId w:val="4"/>
        </w:numPr>
        <w:spacing w:before="0" w:after="0" w:line="240" w:lineRule="auto"/>
      </w:pPr>
      <w:r>
        <w:t>CPI saw or made ongoing diligent efforts to see all children in the household of focus within the assigned response priority of the intake or of learning they were in the home</w:t>
      </w:r>
    </w:p>
    <w:p w14:paraId="387CAA5C" w14:textId="0D2192F3" w:rsidR="002F13BE" w:rsidRDefault="002F13BE" w:rsidP="001868AC">
      <w:pPr>
        <w:spacing w:before="0" w:after="0" w:line="240" w:lineRule="auto"/>
      </w:pPr>
      <w:r>
        <w:rPr>
          <w:b/>
          <w:bCs/>
        </w:rPr>
        <w:t>Item 2:</w:t>
      </w:r>
      <w:r w:rsidR="0075677B">
        <w:rPr>
          <w:b/>
          <w:bCs/>
        </w:rPr>
        <w:t xml:space="preserve"> </w:t>
      </w:r>
      <w:r w:rsidR="0075677B" w:rsidRPr="0075677B">
        <w:rPr>
          <w:b/>
          <w:bCs/>
        </w:rPr>
        <w:t>Services to prevent removal</w:t>
      </w:r>
    </w:p>
    <w:p w14:paraId="47DCF7EE" w14:textId="2731DC41" w:rsidR="002F13BE" w:rsidRDefault="002F13BE" w:rsidP="001868AC">
      <w:pPr>
        <w:pStyle w:val="ListParagraph"/>
        <w:numPr>
          <w:ilvl w:val="0"/>
          <w:numId w:val="4"/>
        </w:numPr>
        <w:spacing w:before="0" w:after="0" w:line="240" w:lineRule="auto"/>
      </w:pPr>
      <w:r>
        <w:t>Investigations Questions:</w:t>
      </w:r>
    </w:p>
    <w:p w14:paraId="3EDB6C26" w14:textId="7D3BB422" w:rsidR="002F13BE" w:rsidRDefault="002F13BE" w:rsidP="001868AC">
      <w:pPr>
        <w:pStyle w:val="ListParagraph"/>
        <w:numPr>
          <w:ilvl w:val="1"/>
          <w:numId w:val="4"/>
        </w:numPr>
        <w:spacing w:before="0" w:after="0" w:line="240" w:lineRule="auto"/>
      </w:pPr>
      <w:r>
        <w:t>Investigator made concerted efforts to provide services to prevent removal by safety planning in the least intrusive means achievable to ensure child safety.</w:t>
      </w:r>
    </w:p>
    <w:p w14:paraId="5190A5EA" w14:textId="49344ABA" w:rsidR="002F13BE" w:rsidRDefault="002F13BE" w:rsidP="001868AC">
      <w:pPr>
        <w:pStyle w:val="ListParagraph"/>
        <w:numPr>
          <w:ilvl w:val="0"/>
          <w:numId w:val="4"/>
        </w:numPr>
        <w:spacing w:before="0" w:after="0" w:line="240" w:lineRule="auto"/>
      </w:pPr>
      <w:r>
        <w:t>On-Going Services Questions:</w:t>
      </w:r>
    </w:p>
    <w:p w14:paraId="7623AE4A" w14:textId="767A71C3" w:rsidR="002F13BE" w:rsidRDefault="002F13BE" w:rsidP="001868AC">
      <w:pPr>
        <w:pStyle w:val="ListParagraph"/>
        <w:numPr>
          <w:ilvl w:val="1"/>
          <w:numId w:val="4"/>
        </w:numPr>
        <w:spacing w:before="0" w:after="0" w:line="240" w:lineRule="auto"/>
      </w:pPr>
      <w:r>
        <w:t>Did the agency make concerted efforts to provide or arrange for appropriate services for the family to protect the children and prevent their entry or re-entry (after reunification) into out-of-home care?</w:t>
      </w:r>
    </w:p>
    <w:p w14:paraId="4112ED26" w14:textId="3D034775" w:rsidR="002F13BE" w:rsidRDefault="002F13BE" w:rsidP="001868AC">
      <w:pPr>
        <w:spacing w:before="0" w:after="0" w:line="240" w:lineRule="auto"/>
        <w:rPr>
          <w:b/>
          <w:bCs/>
        </w:rPr>
      </w:pPr>
      <w:r>
        <w:rPr>
          <w:b/>
          <w:bCs/>
        </w:rPr>
        <w:t>Item 3</w:t>
      </w:r>
      <w:r w:rsidR="001868AC">
        <w:rPr>
          <w:b/>
          <w:bCs/>
        </w:rPr>
        <w:t>:</w:t>
      </w:r>
      <w:r w:rsidR="0075677B">
        <w:rPr>
          <w:b/>
          <w:bCs/>
        </w:rPr>
        <w:t xml:space="preserve"> </w:t>
      </w:r>
      <w:r w:rsidR="0075677B" w:rsidRPr="0075677B">
        <w:rPr>
          <w:b/>
          <w:bCs/>
        </w:rPr>
        <w:t>Risk and Safety Assessment and Management</w:t>
      </w:r>
    </w:p>
    <w:p w14:paraId="6BBEA0D5" w14:textId="189C7F75" w:rsidR="001868AC" w:rsidRPr="001868AC" w:rsidRDefault="001868AC" w:rsidP="001868AC">
      <w:pPr>
        <w:pStyle w:val="ListParagraph"/>
        <w:numPr>
          <w:ilvl w:val="0"/>
          <w:numId w:val="5"/>
        </w:numPr>
        <w:spacing w:before="0" w:after="0" w:line="240" w:lineRule="auto"/>
        <w:rPr>
          <w:b/>
          <w:bCs/>
        </w:rPr>
      </w:pPr>
      <w:r>
        <w:t>Investigations Questions:</w:t>
      </w:r>
    </w:p>
    <w:p w14:paraId="00E9EED8" w14:textId="526B37F4" w:rsidR="001868AC" w:rsidRPr="001868AC" w:rsidRDefault="001868AC" w:rsidP="001868AC">
      <w:pPr>
        <w:pStyle w:val="ListParagraph"/>
        <w:numPr>
          <w:ilvl w:val="1"/>
          <w:numId w:val="5"/>
        </w:numPr>
        <w:spacing w:before="0" w:after="0" w:line="240" w:lineRule="auto"/>
      </w:pPr>
      <w:r w:rsidRPr="001868AC">
        <w:t>Maltreatments were added during the investigation as new information was obtained</w:t>
      </w:r>
    </w:p>
    <w:p w14:paraId="297C74C4" w14:textId="764E7E0E" w:rsidR="001868AC" w:rsidRPr="001868AC" w:rsidRDefault="001868AC" w:rsidP="001868AC">
      <w:pPr>
        <w:pStyle w:val="ListParagraph"/>
        <w:numPr>
          <w:ilvl w:val="1"/>
          <w:numId w:val="5"/>
        </w:numPr>
        <w:spacing w:before="0" w:after="0" w:line="240" w:lineRule="auto"/>
      </w:pPr>
      <w:r w:rsidRPr="001868AC">
        <w:t>The maltreatment findings were supported within the totality of the Investigation</w:t>
      </w:r>
    </w:p>
    <w:p w14:paraId="46D27815" w14:textId="3C46C6F0" w:rsidR="001868AC" w:rsidRDefault="001868AC" w:rsidP="001868AC">
      <w:pPr>
        <w:pStyle w:val="ListParagraph"/>
        <w:numPr>
          <w:ilvl w:val="1"/>
          <w:numId w:val="5"/>
        </w:numPr>
        <w:spacing w:before="0" w:after="0" w:line="240" w:lineRule="auto"/>
      </w:pPr>
      <w:r w:rsidRPr="001868AC">
        <w:t>The Risk Assessment questions were completed correctly based on the documentation in the entirety of the case record.</w:t>
      </w:r>
    </w:p>
    <w:p w14:paraId="0DDB0776" w14:textId="024AB5BD" w:rsidR="001868AC" w:rsidRDefault="001868AC" w:rsidP="001868AC">
      <w:pPr>
        <w:pStyle w:val="ListParagraph"/>
        <w:numPr>
          <w:ilvl w:val="1"/>
          <w:numId w:val="5"/>
        </w:numPr>
        <w:spacing w:before="0" w:after="0" w:line="240" w:lineRule="auto"/>
      </w:pPr>
      <w:r>
        <w:t>The Present Danger Assessment is correct.</w:t>
      </w:r>
    </w:p>
    <w:p w14:paraId="45490E32" w14:textId="072AD141" w:rsidR="001868AC" w:rsidRDefault="001868AC" w:rsidP="001868AC">
      <w:pPr>
        <w:pStyle w:val="ListParagraph"/>
        <w:numPr>
          <w:ilvl w:val="1"/>
          <w:numId w:val="5"/>
        </w:numPr>
        <w:spacing w:before="0" w:after="0" w:line="240" w:lineRule="auto"/>
      </w:pPr>
      <w:r>
        <w:t>The Impending Danger Assessment is correct</w:t>
      </w:r>
    </w:p>
    <w:p w14:paraId="4351DBAD" w14:textId="10AA69EF" w:rsidR="001868AC" w:rsidRDefault="001868AC" w:rsidP="001868AC">
      <w:pPr>
        <w:pStyle w:val="ListParagraph"/>
        <w:numPr>
          <w:ilvl w:val="1"/>
          <w:numId w:val="5"/>
        </w:numPr>
        <w:spacing w:before="0" w:after="0" w:line="240" w:lineRule="auto"/>
      </w:pPr>
      <w:r>
        <w:t>The present danger safety plan is sufficient to control identified threats</w:t>
      </w:r>
    </w:p>
    <w:p w14:paraId="69CECC4A" w14:textId="74AEAC96" w:rsidR="001868AC" w:rsidRDefault="001868AC" w:rsidP="001868AC">
      <w:pPr>
        <w:pStyle w:val="ListParagraph"/>
        <w:numPr>
          <w:ilvl w:val="1"/>
          <w:numId w:val="5"/>
        </w:numPr>
        <w:spacing w:before="0" w:after="0" w:line="240" w:lineRule="auto"/>
      </w:pPr>
      <w:r>
        <w:t>The impending danger safety plan is sufficient to control identified danger threats</w:t>
      </w:r>
    </w:p>
    <w:p w14:paraId="478458EA" w14:textId="6C1FDEFA" w:rsidR="001868AC" w:rsidRDefault="001868AC" w:rsidP="001868AC">
      <w:pPr>
        <w:pStyle w:val="ListParagraph"/>
        <w:numPr>
          <w:ilvl w:val="1"/>
          <w:numId w:val="5"/>
        </w:numPr>
        <w:spacing w:before="0" w:after="0" w:line="240" w:lineRule="auto"/>
      </w:pPr>
      <w:r>
        <w:t>The present danger plan is actively managed</w:t>
      </w:r>
    </w:p>
    <w:p w14:paraId="6AF966F0" w14:textId="1DBA1562" w:rsidR="001868AC" w:rsidRDefault="001868AC" w:rsidP="001868AC">
      <w:pPr>
        <w:pStyle w:val="ListParagraph"/>
        <w:numPr>
          <w:ilvl w:val="1"/>
          <w:numId w:val="5"/>
        </w:numPr>
        <w:spacing w:before="0" w:after="0" w:line="240" w:lineRule="auto"/>
      </w:pPr>
      <w:r>
        <w:t>The impending danger safety plan is actively managed by the CPI</w:t>
      </w:r>
    </w:p>
    <w:p w14:paraId="65B67872" w14:textId="06D30E1F" w:rsidR="001868AC" w:rsidRDefault="001868AC" w:rsidP="001868AC">
      <w:pPr>
        <w:pStyle w:val="ListParagraph"/>
        <w:numPr>
          <w:ilvl w:val="1"/>
          <w:numId w:val="5"/>
        </w:numPr>
        <w:spacing w:before="0" w:after="0" w:line="240" w:lineRule="auto"/>
      </w:pPr>
      <w:r w:rsidRPr="001868AC">
        <w:t>Is an Immediate Child Safety Action Required?  (for significant safety concerns).</w:t>
      </w:r>
    </w:p>
    <w:p w14:paraId="70414886" w14:textId="1F6737C7" w:rsidR="001868AC" w:rsidRDefault="001868AC" w:rsidP="001868AC">
      <w:pPr>
        <w:pStyle w:val="ListParagraph"/>
        <w:numPr>
          <w:ilvl w:val="0"/>
          <w:numId w:val="5"/>
        </w:numPr>
        <w:spacing w:before="0" w:after="0" w:line="240" w:lineRule="auto"/>
      </w:pPr>
      <w:r>
        <w:t>On-Going Services Questions:</w:t>
      </w:r>
    </w:p>
    <w:p w14:paraId="62D7D438" w14:textId="69D1739B" w:rsidR="001868AC" w:rsidRDefault="001868AC" w:rsidP="001868AC">
      <w:pPr>
        <w:pStyle w:val="ListParagraph"/>
        <w:numPr>
          <w:ilvl w:val="1"/>
          <w:numId w:val="5"/>
        </w:numPr>
        <w:spacing w:before="0" w:after="0" w:line="240" w:lineRule="auto"/>
      </w:pPr>
      <w:r>
        <w:t>Are background checks completed when required?</w:t>
      </w:r>
    </w:p>
    <w:p w14:paraId="0CF55FB5" w14:textId="234CF1EE" w:rsidR="001868AC" w:rsidRDefault="001868AC" w:rsidP="001868AC">
      <w:pPr>
        <w:pStyle w:val="ListParagraph"/>
        <w:numPr>
          <w:ilvl w:val="1"/>
          <w:numId w:val="5"/>
        </w:numPr>
        <w:spacing w:before="0" w:after="0" w:line="240" w:lineRule="auto"/>
      </w:pPr>
      <w:r>
        <w:t>Is the information obtained from the background checks evaluated and used to address potential danger threats?</w:t>
      </w:r>
    </w:p>
    <w:p w14:paraId="3C6563CB" w14:textId="59E9EB29" w:rsidR="001868AC" w:rsidRDefault="001868AC" w:rsidP="001868AC">
      <w:pPr>
        <w:pStyle w:val="ListParagraph"/>
        <w:numPr>
          <w:ilvl w:val="1"/>
          <w:numId w:val="5"/>
        </w:numPr>
        <w:spacing w:line="23" w:lineRule="atLeast"/>
      </w:pPr>
      <w:r>
        <w:t>Is the most recent family assessment sufficient to document family dynamics?</w:t>
      </w:r>
    </w:p>
    <w:p w14:paraId="55D38B7C" w14:textId="7DEF6A78" w:rsidR="001868AC" w:rsidRDefault="001868AC" w:rsidP="001868AC">
      <w:pPr>
        <w:pStyle w:val="ListParagraph"/>
        <w:numPr>
          <w:ilvl w:val="1"/>
          <w:numId w:val="5"/>
        </w:numPr>
        <w:spacing w:line="23" w:lineRule="atLeast"/>
      </w:pPr>
      <w:r>
        <w:t>Is an Immediate Child Safety Action Required?</w:t>
      </w:r>
    </w:p>
    <w:p w14:paraId="5159B7A7" w14:textId="64D470FB" w:rsidR="001868AC" w:rsidRDefault="001868AC" w:rsidP="001868AC">
      <w:pPr>
        <w:pStyle w:val="ListParagraph"/>
        <w:numPr>
          <w:ilvl w:val="1"/>
          <w:numId w:val="5"/>
        </w:numPr>
        <w:spacing w:line="23" w:lineRule="atLeast"/>
      </w:pPr>
      <w:r w:rsidRPr="001868AC">
        <w:t>There was a sufficient safety plan with the family to manage identified danger threats or safety concerns.</w:t>
      </w:r>
    </w:p>
    <w:p w14:paraId="1189DD51" w14:textId="44FF42E5" w:rsidR="001868AC" w:rsidRDefault="001868AC" w:rsidP="001868AC">
      <w:pPr>
        <w:pStyle w:val="ListParagraph"/>
        <w:numPr>
          <w:ilvl w:val="1"/>
          <w:numId w:val="5"/>
        </w:numPr>
        <w:spacing w:line="23" w:lineRule="atLeast"/>
      </w:pPr>
      <w:r w:rsidRPr="001868AC">
        <w:t>The agency actively monitored and updated the safety plan as needed to ensure it is working effectively to protect the children from identified danger threats including monitoring family engagement in any safety-related services.</w:t>
      </w:r>
    </w:p>
    <w:p w14:paraId="5A5B7D94" w14:textId="0FB632BF" w:rsidR="001868AC" w:rsidRDefault="001868AC" w:rsidP="001868AC">
      <w:pPr>
        <w:pStyle w:val="ListParagraph"/>
        <w:numPr>
          <w:ilvl w:val="1"/>
          <w:numId w:val="5"/>
        </w:numPr>
        <w:spacing w:line="23" w:lineRule="atLeast"/>
      </w:pPr>
      <w:r w:rsidRPr="001868AC">
        <w:t>Were all new safety concerns adequately addressed by the agency pertaining to any child(ren) remaining in the family home?</w:t>
      </w:r>
    </w:p>
    <w:p w14:paraId="2B53FE1A" w14:textId="5BC57DE9" w:rsidR="001868AC" w:rsidRDefault="001868AC" w:rsidP="001868AC">
      <w:pPr>
        <w:pStyle w:val="ListParagraph"/>
        <w:numPr>
          <w:ilvl w:val="1"/>
          <w:numId w:val="5"/>
        </w:numPr>
        <w:spacing w:line="23" w:lineRule="atLeast"/>
      </w:pPr>
      <w:r w:rsidRPr="001868AC">
        <w:t>Were all safety concerns related to visitation wit</w:t>
      </w:r>
      <w:r>
        <w:t>h</w:t>
      </w:r>
      <w:r w:rsidRPr="001868AC">
        <w:t xml:space="preserve"> parents or family members adequately addressed?</w:t>
      </w:r>
    </w:p>
    <w:p w14:paraId="2718050B" w14:textId="427C3A26" w:rsidR="001868AC" w:rsidRPr="001868AC" w:rsidRDefault="001868AC" w:rsidP="001868AC">
      <w:pPr>
        <w:pStyle w:val="ListParagraph"/>
        <w:numPr>
          <w:ilvl w:val="1"/>
          <w:numId w:val="5"/>
        </w:numPr>
        <w:spacing w:line="23" w:lineRule="atLeast"/>
      </w:pPr>
      <w:r w:rsidRPr="001868AC">
        <w:lastRenderedPageBreak/>
        <w:t>Were all safety concerns pertaining to the child(ren) in out of home care adequately or appropriately addressed by the agency?</w:t>
      </w:r>
    </w:p>
    <w:p w14:paraId="28DF16F9" w14:textId="77777777" w:rsidR="002F13BE" w:rsidRDefault="002F13BE" w:rsidP="002F13BE">
      <w:pPr>
        <w:spacing w:line="23" w:lineRule="atLeast"/>
        <w:rPr>
          <w:b/>
          <w:bCs/>
        </w:rPr>
      </w:pPr>
      <w:r>
        <w:rPr>
          <w:b/>
          <w:bCs/>
        </w:rPr>
        <w:t>Calculation:</w:t>
      </w:r>
    </w:p>
    <w:p w14:paraId="118123E1" w14:textId="60741B22" w:rsidR="002F13BE" w:rsidRPr="00500C44" w:rsidRDefault="00000000" w:rsidP="002F13BE">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1-3</m:t>
              </m:r>
              <m:r>
                <m:rPr>
                  <m:sty m:val="bi"/>
                </m:rPr>
                <w:rPr>
                  <w:rStyle w:val="FootnoteReference"/>
                  <w:rFonts w:ascii="Cambria Math" w:hAnsi="Cambria Math"/>
                  <w:b/>
                  <w:i/>
                </w:rPr>
                <w:footnoteReference w:id="1"/>
              </m:r>
            </m:num>
            <m:den>
              <m:r>
                <m:rPr>
                  <m:sty m:val="bi"/>
                </m:rPr>
                <w:rPr>
                  <w:rFonts w:ascii="Cambria Math" w:hAnsi="Cambria Math"/>
                </w:rPr>
                <m:t>The total number of responses to questions related to Items 1-3</m:t>
              </m:r>
            </m:den>
          </m:f>
        </m:oMath>
      </m:oMathPara>
    </w:p>
    <w:p w14:paraId="224A24EA" w14:textId="5BA41487" w:rsidR="002F13BE" w:rsidRDefault="002F13BE" w:rsidP="002F13BE">
      <w:pPr>
        <w:spacing w:line="23" w:lineRule="atLeast"/>
      </w:pPr>
      <w:r>
        <w:rPr>
          <w:b/>
          <w:bCs/>
        </w:rPr>
        <w:t>Standard</w:t>
      </w:r>
      <w:r w:rsidRPr="009A2E54">
        <w:rPr>
          <w:b/>
          <w:bCs/>
        </w:rPr>
        <w:t>:</w:t>
      </w:r>
      <w:r>
        <w:t xml:space="preserve">  9</w:t>
      </w:r>
      <w:r w:rsidR="001868AC">
        <w:t>0</w:t>
      </w:r>
      <w:r>
        <w:t xml:space="preserve">%, </w:t>
      </w:r>
      <w:r w:rsidR="001868AC">
        <w:t>based on national standards</w:t>
      </w:r>
    </w:p>
    <w:p w14:paraId="1E971234" w14:textId="3CE06F13" w:rsidR="00F42AFA" w:rsidRDefault="00A3276A" w:rsidP="001C0779">
      <w:pPr>
        <w:pStyle w:val="Heading1"/>
      </w:pPr>
      <w:r>
        <w:br w:type="page"/>
      </w:r>
    </w:p>
    <w:bookmarkEnd w:id="4"/>
    <w:p w14:paraId="64BE4CDF" w14:textId="77777777" w:rsidR="00D22413" w:rsidRDefault="00D22413" w:rsidP="00D22413">
      <w:pPr>
        <w:spacing w:before="0" w:after="160" w:line="259" w:lineRule="auto"/>
        <w:rPr>
          <w:sz w:val="48"/>
          <w:szCs w:val="48"/>
        </w:rPr>
      </w:pPr>
    </w:p>
    <w:p w14:paraId="7397EB30" w14:textId="77777777" w:rsidR="00D22413" w:rsidRDefault="00D22413" w:rsidP="00D22413">
      <w:pPr>
        <w:spacing w:before="0" w:after="160" w:line="259" w:lineRule="auto"/>
        <w:rPr>
          <w:sz w:val="48"/>
          <w:szCs w:val="48"/>
        </w:rPr>
      </w:pPr>
    </w:p>
    <w:p w14:paraId="26268B06" w14:textId="77777777" w:rsidR="00D22413" w:rsidRDefault="00D22413" w:rsidP="00D22413">
      <w:pPr>
        <w:spacing w:before="0" w:after="160" w:line="259" w:lineRule="auto"/>
        <w:rPr>
          <w:sz w:val="48"/>
          <w:szCs w:val="48"/>
        </w:rPr>
      </w:pPr>
    </w:p>
    <w:p w14:paraId="6A515140" w14:textId="77777777" w:rsidR="00450AA0" w:rsidRDefault="00450AA0" w:rsidP="00D22413">
      <w:pPr>
        <w:spacing w:before="0" w:after="160" w:line="259" w:lineRule="auto"/>
        <w:jc w:val="center"/>
        <w:rPr>
          <w:sz w:val="48"/>
          <w:szCs w:val="48"/>
        </w:rPr>
      </w:pPr>
    </w:p>
    <w:p w14:paraId="3BBC4655" w14:textId="77777777" w:rsidR="00450AA0" w:rsidRDefault="00450AA0" w:rsidP="00D22413">
      <w:pPr>
        <w:spacing w:before="0" w:after="160" w:line="259" w:lineRule="auto"/>
        <w:jc w:val="center"/>
        <w:rPr>
          <w:sz w:val="48"/>
          <w:szCs w:val="48"/>
        </w:rPr>
      </w:pPr>
    </w:p>
    <w:p w14:paraId="622D0203" w14:textId="77777777" w:rsidR="00450AA0" w:rsidRDefault="00450AA0" w:rsidP="00D22413">
      <w:pPr>
        <w:spacing w:before="0" w:after="160" w:line="259" w:lineRule="auto"/>
        <w:jc w:val="center"/>
        <w:rPr>
          <w:sz w:val="48"/>
          <w:szCs w:val="48"/>
        </w:rPr>
      </w:pPr>
    </w:p>
    <w:p w14:paraId="2FB01EF3" w14:textId="40E311C1" w:rsidR="00D22413" w:rsidRDefault="00EB175F" w:rsidP="00D22413">
      <w:pPr>
        <w:spacing w:before="0" w:after="160" w:line="259" w:lineRule="auto"/>
        <w:jc w:val="center"/>
        <w:rPr>
          <w:sz w:val="48"/>
          <w:szCs w:val="48"/>
        </w:rPr>
      </w:pPr>
      <w:r>
        <w:rPr>
          <w:sz w:val="48"/>
          <w:szCs w:val="48"/>
        </w:rPr>
        <w:t>Florida Department of Children and Families</w:t>
      </w:r>
    </w:p>
    <w:p w14:paraId="12A02BD8" w14:textId="77777777" w:rsidR="00D22413" w:rsidRDefault="00EB175F" w:rsidP="00D22413">
      <w:pPr>
        <w:spacing w:before="0" w:after="160" w:line="259" w:lineRule="auto"/>
        <w:jc w:val="center"/>
        <w:rPr>
          <w:sz w:val="48"/>
          <w:szCs w:val="48"/>
        </w:rPr>
      </w:pPr>
      <w:r>
        <w:rPr>
          <w:sz w:val="48"/>
          <w:szCs w:val="48"/>
        </w:rPr>
        <w:t>Enterprise Metrics Guidebook:</w:t>
      </w:r>
    </w:p>
    <w:p w14:paraId="25BEAF99" w14:textId="737C3BEF" w:rsidR="00D22413" w:rsidRPr="003D5627" w:rsidRDefault="00C62EB7" w:rsidP="003D5627">
      <w:pPr>
        <w:pStyle w:val="Heading1"/>
        <w:jc w:val="center"/>
        <w:rPr>
          <w:sz w:val="48"/>
          <w:szCs w:val="48"/>
        </w:rPr>
      </w:pPr>
      <w:bookmarkStart w:id="15" w:name="_Toc81913944"/>
      <w:bookmarkStart w:id="16" w:name="_Toc127779916"/>
      <w:r>
        <w:rPr>
          <w:sz w:val="48"/>
          <w:szCs w:val="48"/>
        </w:rPr>
        <w:t>Permanency Metrics</w:t>
      </w:r>
      <w:bookmarkEnd w:id="15"/>
      <w:bookmarkEnd w:id="16"/>
    </w:p>
    <w:p w14:paraId="1F6347EB" w14:textId="77777777" w:rsidR="00D22413" w:rsidRPr="00D22413" w:rsidRDefault="00D22413" w:rsidP="00D22413">
      <w:pPr>
        <w:rPr>
          <w:sz w:val="48"/>
          <w:szCs w:val="48"/>
        </w:rPr>
      </w:pPr>
    </w:p>
    <w:p w14:paraId="3ECAB2DA" w14:textId="77777777" w:rsidR="00D22413" w:rsidRPr="00D22413" w:rsidRDefault="00D22413" w:rsidP="00D22413">
      <w:pPr>
        <w:rPr>
          <w:sz w:val="48"/>
          <w:szCs w:val="48"/>
        </w:rPr>
      </w:pPr>
    </w:p>
    <w:p w14:paraId="013C1CAE" w14:textId="77777777" w:rsidR="00D22413" w:rsidRPr="00D22413" w:rsidRDefault="00D22413" w:rsidP="00D22413">
      <w:pPr>
        <w:rPr>
          <w:sz w:val="48"/>
          <w:szCs w:val="48"/>
        </w:rPr>
      </w:pPr>
    </w:p>
    <w:p w14:paraId="7A24FD9F" w14:textId="77777777" w:rsidR="00D22413" w:rsidRPr="00D22413" w:rsidRDefault="00D22413" w:rsidP="00D22413">
      <w:pPr>
        <w:rPr>
          <w:sz w:val="48"/>
          <w:szCs w:val="48"/>
        </w:rPr>
      </w:pPr>
    </w:p>
    <w:p w14:paraId="7822C8BA" w14:textId="77777777" w:rsidR="00D22413" w:rsidRPr="00D22413" w:rsidRDefault="00D22413" w:rsidP="00D22413">
      <w:pPr>
        <w:rPr>
          <w:sz w:val="48"/>
          <w:szCs w:val="48"/>
        </w:rPr>
      </w:pPr>
    </w:p>
    <w:p w14:paraId="697B78A3" w14:textId="77777777" w:rsidR="00D22413" w:rsidRPr="00D22413" w:rsidRDefault="00D22413" w:rsidP="00D22413">
      <w:pPr>
        <w:rPr>
          <w:sz w:val="48"/>
          <w:szCs w:val="48"/>
        </w:rPr>
      </w:pPr>
    </w:p>
    <w:p w14:paraId="40CFE2CD" w14:textId="77777777" w:rsidR="00116846" w:rsidRPr="00D22413" w:rsidRDefault="00116846" w:rsidP="00116846">
      <w:pPr>
        <w:rPr>
          <w:sz w:val="48"/>
          <w:szCs w:val="48"/>
        </w:rPr>
      </w:pPr>
    </w:p>
    <w:p w14:paraId="25F13104" w14:textId="77777777" w:rsidR="00D22413" w:rsidRDefault="00D22413" w:rsidP="00C523C8">
      <w:pPr>
        <w:pStyle w:val="Header"/>
        <w:tabs>
          <w:tab w:val="left" w:pos="2430"/>
        </w:tabs>
        <w:rPr>
          <w:sz w:val="18"/>
          <w:szCs w:val="18"/>
        </w:rPr>
      </w:pPr>
    </w:p>
    <w:p w14:paraId="26661EA9" w14:textId="77777777" w:rsidR="00EB175F" w:rsidRDefault="00EB175F" w:rsidP="00D22413">
      <w:pPr>
        <w:pStyle w:val="Header"/>
        <w:tabs>
          <w:tab w:val="left" w:pos="2430"/>
        </w:tabs>
        <w:jc w:val="right"/>
        <w:rPr>
          <w:b/>
          <w:sz w:val="28"/>
          <w:szCs w:val="28"/>
        </w:rPr>
        <w:sectPr w:rsidR="00EB175F" w:rsidSect="00A3276A">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36B3102A" w14:textId="77777777" w:rsidR="00EB175F" w:rsidRPr="00EB175F" w:rsidRDefault="00EB175F" w:rsidP="00EB175F">
      <w:pPr>
        <w:pStyle w:val="Header"/>
        <w:tabs>
          <w:tab w:val="left" w:pos="2430"/>
        </w:tabs>
        <w:spacing w:after="160" w:line="271" w:lineRule="auto"/>
        <w:rPr>
          <w:bCs/>
        </w:rPr>
      </w:pPr>
    </w:p>
    <w:p w14:paraId="7D909A81" w14:textId="77777777" w:rsidR="00C62EB7" w:rsidRPr="00E8108E" w:rsidRDefault="00C62EB7" w:rsidP="00C62EB7">
      <w:pPr>
        <w:pStyle w:val="Heading1"/>
        <w:rPr>
          <w:szCs w:val="22"/>
        </w:rPr>
      </w:pPr>
      <w:bookmarkStart w:id="17" w:name="_Toc51677231"/>
      <w:bookmarkStart w:id="18" w:name="_Toc59080006"/>
      <w:bookmarkStart w:id="19" w:name="_Toc81913945"/>
      <w:bookmarkStart w:id="20" w:name="_Toc127779917"/>
      <w:bookmarkStart w:id="21" w:name="_Toc50669811"/>
      <w:r w:rsidRPr="00E8108E">
        <w:rPr>
          <w:szCs w:val="22"/>
        </w:rPr>
        <w:t xml:space="preserve">Percentage </w:t>
      </w:r>
      <w:r>
        <w:rPr>
          <w:szCs w:val="22"/>
        </w:rPr>
        <w:t>of Children Achieving Permanency within Twelve Months</w:t>
      </w:r>
      <w:bookmarkEnd w:id="17"/>
      <w:bookmarkEnd w:id="18"/>
      <w:bookmarkEnd w:id="19"/>
      <w:bookmarkEnd w:id="20"/>
    </w:p>
    <w:p w14:paraId="2F844B6A" w14:textId="77777777" w:rsidR="00C62EB7" w:rsidRPr="00EB3223" w:rsidRDefault="00C62EB7" w:rsidP="00C62EB7">
      <w:r w:rsidRPr="001A11DA">
        <w:rPr>
          <w:b/>
          <w:bCs/>
        </w:rPr>
        <w:t>Ownership</w:t>
      </w:r>
      <w:r>
        <w:rPr>
          <w:b/>
          <w:bCs/>
        </w:rPr>
        <w:t xml:space="preserve">: </w:t>
      </w:r>
      <w:r>
        <w:t>The child welfare system as a whole, including investigators, case managers, and legal representatives.</w:t>
      </w:r>
    </w:p>
    <w:p w14:paraId="014DE16D" w14:textId="77777777" w:rsidR="00C62EB7" w:rsidRDefault="00C62EB7" w:rsidP="00C62EB7">
      <w:r w:rsidRPr="009A2E54">
        <w:rPr>
          <w:b/>
          <w:bCs/>
        </w:rPr>
        <w:t>Description:</w:t>
      </w:r>
      <w:r>
        <w:t xml:space="preserve">  This is the percentage of children who achieved permanency within twelve months of entering out-of-home care. This measure is a federal indicator. Per Florida Statute (39.523(a)), it is the basic tenant of child welfare practice and the law that a child be placed in a permanent home in a timely manner. One of the central goals of the Office of Child Welfare is for Florida’s children to achieve permanency, so that Florida’s children can enjoy long-term, secure relationships within strong families and communities. The Office of Child Welfare and regional Family Safety program offices are directed to work in partnership with local communities, courts, and tribes to ensure the safety, timely permanency, and well-being of children. </w:t>
      </w:r>
    </w:p>
    <w:p w14:paraId="23CDC3C1" w14:textId="77777777" w:rsidR="00C62EB7" w:rsidRDefault="00C62EB7" w:rsidP="00C62EB7">
      <w:r w:rsidRPr="009A2E54">
        <w:rPr>
          <w:b/>
          <w:bCs/>
        </w:rPr>
        <w:t>Research Base:</w:t>
      </w:r>
      <w:r>
        <w:rPr>
          <w:b/>
          <w:bCs/>
        </w:rPr>
        <w:t xml:space="preserve"> </w:t>
      </w:r>
      <w:r>
        <w:t xml:space="preserve">The length of time spent in foster care is associated with non-reunification. The likelihood of reunification is greatest during the first four months after a child is placed in care, but then drops dramatically and continues to decrease with each additional month in care (Carnochan, Lee, &amp; Austin, 2013). Additionally, multiple child placement moves are associated with poor psychological, social and academic outcomes (Chambers, R., 2018). </w:t>
      </w:r>
      <w:r w:rsidRPr="00083FAA">
        <w:t xml:space="preserve">  </w:t>
      </w:r>
    </w:p>
    <w:p w14:paraId="27DB7C96" w14:textId="77777777" w:rsidR="00C62EB7" w:rsidRDefault="00C62EB7" w:rsidP="00C62EB7">
      <w:r>
        <w:rPr>
          <w:b/>
          <w:bCs/>
        </w:rPr>
        <w:t xml:space="preserve">Report </w:t>
      </w:r>
      <w:r w:rsidRPr="009A2E54">
        <w:rPr>
          <w:b/>
          <w:bCs/>
        </w:rPr>
        <w:t xml:space="preserve">Period: </w:t>
      </w:r>
      <w:r>
        <w:t>The month ending twelve months prior to the end of the report month.</w:t>
      </w:r>
    </w:p>
    <w:p w14:paraId="2A4751AF" w14:textId="77777777" w:rsidR="00C62EB7" w:rsidRPr="00DC4A96" w:rsidRDefault="00C62EB7" w:rsidP="00C62EB7">
      <w:r>
        <w:rPr>
          <w:b/>
          <w:bCs/>
        </w:rPr>
        <w:t>Source</w:t>
      </w:r>
      <w:r>
        <w:t>: FSFN, Report #1182</w:t>
      </w:r>
    </w:p>
    <w:p w14:paraId="0D1577D6" w14:textId="77777777" w:rsidR="00C62EB7" w:rsidRDefault="00C62EB7" w:rsidP="00C62EB7">
      <w:pPr>
        <w:rPr>
          <w:b/>
          <w:bCs/>
        </w:rPr>
      </w:pPr>
      <w:r>
        <w:rPr>
          <w:b/>
          <w:bCs/>
        </w:rPr>
        <w:t>Calculation:</w:t>
      </w:r>
    </w:p>
    <w:p w14:paraId="0BA312FE" w14:textId="77777777" w:rsidR="00C62EB7" w:rsidRPr="001F5953" w:rsidRDefault="00000000" w:rsidP="00C62EB7">
      <w:pPr>
        <w:rPr>
          <w:b/>
          <w:i/>
        </w:rPr>
      </w:pPr>
      <m:oMathPara>
        <m:oMath>
          <m:f>
            <m:fPr>
              <m:ctrlPr>
                <w:rPr>
                  <w:rFonts w:ascii="Cambria Math" w:hAnsi="Cambria Math"/>
                  <w:b/>
                  <w:i/>
                </w:rPr>
              </m:ctrlPr>
            </m:fPr>
            <m:num>
              <m:eqArr>
                <m:eqArrPr>
                  <m:ctrlPr>
                    <w:rPr>
                      <w:rFonts w:ascii="Cambria Math" w:hAnsi="Cambria Math" w:cs="Cambria Math"/>
                      <w:b/>
                      <w:i/>
                    </w:rPr>
                  </m:ctrlPr>
                </m:eqArrPr>
                <m:e>
                  <m:r>
                    <m:rPr>
                      <m:sty m:val="bi"/>
                    </m:rPr>
                    <w:rPr>
                      <w:rFonts w:ascii="Cambria Math" w:hAnsi="Cambria Math" w:cs="Cambria Math"/>
                    </w:rPr>
                    <m:t xml:space="preserve">The number of children who achieved permanecy within </m:t>
                  </m:r>
                </m:e>
                <m:e>
                  <m:r>
                    <m:rPr>
                      <m:sty m:val="bi"/>
                    </m:rPr>
                    <w:rPr>
                      <w:rFonts w:ascii="Cambria Math" w:hAnsi="Cambria Math" w:cs="Cambria Math"/>
                    </w:rPr>
                    <m:t>twelve months of their removal date</m:t>
                  </m:r>
                </m:e>
              </m:eqArr>
            </m:num>
            <m:den>
              <m:r>
                <m:rPr>
                  <m:sty m:val="bi"/>
                </m:rPr>
                <w:rPr>
                  <w:rFonts w:ascii="Cambria Math" w:hAnsi="Cambria Math" w:cs="Cambria Math"/>
                </w:rPr>
                <m:t>The total number children who entered OHC</m:t>
              </m:r>
            </m:den>
          </m:f>
        </m:oMath>
      </m:oMathPara>
    </w:p>
    <w:p w14:paraId="0A1C45A0" w14:textId="4D834BFD" w:rsidR="00C62EB7" w:rsidRPr="00D950BB" w:rsidRDefault="000842C2" w:rsidP="00C62EB7">
      <w:r>
        <w:rPr>
          <w:b/>
          <w:bCs/>
        </w:rPr>
        <w:t>Standard</w:t>
      </w:r>
      <w:r w:rsidR="00C62EB7" w:rsidRPr="009A2E54">
        <w:rPr>
          <w:b/>
          <w:bCs/>
        </w:rPr>
        <w:t>:</w:t>
      </w:r>
      <w:r w:rsidR="00C62EB7">
        <w:t xml:space="preserve">  </w:t>
      </w:r>
      <w:r w:rsidR="00DE13AC">
        <w:t>35.2</w:t>
      </w:r>
      <w:r w:rsidR="00C62EB7">
        <w:t>%, based on national standards.</w:t>
      </w:r>
    </w:p>
    <w:p w14:paraId="79A7AE73" w14:textId="77777777" w:rsidR="00C62EB7" w:rsidRDefault="00C62EB7" w:rsidP="00C62EB7">
      <w:pPr>
        <w:spacing w:after="0" w:line="240" w:lineRule="auto"/>
      </w:pPr>
      <w:r>
        <w:br w:type="page"/>
      </w:r>
    </w:p>
    <w:p w14:paraId="30DC777D" w14:textId="77777777" w:rsidR="00C62EB7" w:rsidRDefault="00C62EB7" w:rsidP="00C62EB7"/>
    <w:p w14:paraId="14E0C277" w14:textId="5F509936" w:rsidR="00C62EB7" w:rsidRPr="00E8108E" w:rsidRDefault="00C62EB7" w:rsidP="00C62EB7">
      <w:pPr>
        <w:pStyle w:val="Heading1"/>
        <w:rPr>
          <w:szCs w:val="22"/>
        </w:rPr>
      </w:pPr>
      <w:bookmarkStart w:id="22" w:name="_Toc51677232"/>
      <w:bookmarkStart w:id="23" w:name="_Toc81913946"/>
      <w:bookmarkStart w:id="24" w:name="_Toc127779918"/>
      <w:r w:rsidRPr="00E8108E">
        <w:rPr>
          <w:szCs w:val="22"/>
        </w:rPr>
        <w:t xml:space="preserve">Percentage of </w:t>
      </w:r>
      <w:r>
        <w:rPr>
          <w:szCs w:val="22"/>
        </w:rPr>
        <w:t xml:space="preserve">Children Achieving Permanency in 12 </w:t>
      </w:r>
      <w:r w:rsidR="00DE13AC">
        <w:rPr>
          <w:szCs w:val="22"/>
        </w:rPr>
        <w:t>M</w:t>
      </w:r>
      <w:r>
        <w:rPr>
          <w:szCs w:val="22"/>
        </w:rPr>
        <w:t>onths for Children in Out-of-Home Care Between Twelve and Twenty-Three months</w:t>
      </w:r>
      <w:bookmarkEnd w:id="22"/>
      <w:bookmarkEnd w:id="23"/>
      <w:bookmarkEnd w:id="24"/>
    </w:p>
    <w:p w14:paraId="0D9110B9" w14:textId="77777777" w:rsidR="00C62EB7" w:rsidRPr="00EB3223" w:rsidRDefault="00C62EB7" w:rsidP="00C62EB7">
      <w:r w:rsidRPr="001A11DA">
        <w:rPr>
          <w:b/>
          <w:bCs/>
        </w:rPr>
        <w:t>Ownership</w:t>
      </w:r>
      <w:r>
        <w:rPr>
          <w:b/>
          <w:bCs/>
        </w:rPr>
        <w:t xml:space="preserve">: </w:t>
      </w:r>
      <w:r>
        <w:t>The child welfare system as a whole, including investigators, case managers, and legal representatives.</w:t>
      </w:r>
    </w:p>
    <w:p w14:paraId="113B333F" w14:textId="77777777" w:rsidR="00C62EB7" w:rsidRDefault="00C62EB7" w:rsidP="00C62EB7">
      <w:r w:rsidRPr="009A2E54">
        <w:rPr>
          <w:b/>
          <w:bCs/>
        </w:rPr>
        <w:t>Description:</w:t>
      </w:r>
      <w:r>
        <w:t xml:space="preserve">  This is the percentage children who had been in OHC between twelve and twenty-three months who achieved permanency within twelve months. Per Florida Statute (39.523(a)), it is the basic tenant of child welfare practice and the law that a child be placed in a permanent home in a timely manner. One of the central goals of the Office of Child Welfare is for Florida’s children to achieve permanency, so that Florida’s children can enjoy long-term, secure relationships within strong families and communities. The Office of Child Welfare and regional Family Safety program offices are directed to work in partnership with local communities, courts, and tribes to ensure the safety, timely permanency, and well-being of children. </w:t>
      </w:r>
    </w:p>
    <w:p w14:paraId="2729A78B" w14:textId="77777777" w:rsidR="00C62EB7" w:rsidRDefault="00C62EB7" w:rsidP="00C62EB7">
      <w:r w:rsidRPr="009A2E54">
        <w:rPr>
          <w:b/>
          <w:bCs/>
        </w:rPr>
        <w:t>Research Base:</w:t>
      </w:r>
      <w:r>
        <w:rPr>
          <w:b/>
          <w:bCs/>
        </w:rPr>
        <w:t xml:space="preserve"> </w:t>
      </w:r>
      <w:r>
        <w:t xml:space="preserve">The length of time spent in foster care is associated with non-reunification. The likelihood of reunification is greatest during the first four months after a child is placed in care, but then drops dramatically and continues to decrease with each additional month in care (Carnochan, Lee, &amp; Austin, 2013). Additionally, multiple child placement moves are associated with poor psychological, social and academic outcomes (Chambers, R., 2018). </w:t>
      </w:r>
      <w:r w:rsidRPr="00083FAA">
        <w:t xml:space="preserve">  </w:t>
      </w:r>
    </w:p>
    <w:p w14:paraId="040D470E" w14:textId="77777777" w:rsidR="00C62EB7" w:rsidRDefault="00C62EB7" w:rsidP="00C62EB7">
      <w:r>
        <w:rPr>
          <w:b/>
          <w:bCs/>
        </w:rPr>
        <w:t xml:space="preserve">Report </w:t>
      </w:r>
      <w:r w:rsidRPr="009A2E54">
        <w:rPr>
          <w:b/>
          <w:bCs/>
        </w:rPr>
        <w:t xml:space="preserve">Period: </w:t>
      </w:r>
      <w:r w:rsidRPr="009A2E54">
        <w:t xml:space="preserve"> </w:t>
      </w:r>
      <w:r>
        <w:t>The month ending twelve months prior to the end of the report month.</w:t>
      </w:r>
    </w:p>
    <w:p w14:paraId="0C6BA979" w14:textId="77777777" w:rsidR="00C62EB7" w:rsidRPr="00DC4A96" w:rsidRDefault="00C62EB7" w:rsidP="00C62EB7">
      <w:r>
        <w:rPr>
          <w:b/>
          <w:bCs/>
        </w:rPr>
        <w:t>Source</w:t>
      </w:r>
      <w:r>
        <w:t>: FSFN, Report #1138</w:t>
      </w:r>
    </w:p>
    <w:p w14:paraId="19514214" w14:textId="77777777" w:rsidR="00C62EB7" w:rsidRDefault="00C62EB7" w:rsidP="00C62EB7">
      <w:pPr>
        <w:rPr>
          <w:b/>
          <w:bCs/>
        </w:rPr>
      </w:pPr>
      <w:r>
        <w:rPr>
          <w:b/>
          <w:bCs/>
        </w:rPr>
        <w:t>Calculation:</w:t>
      </w:r>
    </w:p>
    <w:p w14:paraId="5D60B8CE" w14:textId="77777777" w:rsidR="00C62EB7" w:rsidRPr="001F5953" w:rsidRDefault="00000000" w:rsidP="00C62EB7">
      <w:pPr>
        <w:rPr>
          <w:b/>
          <w:i/>
        </w:rPr>
      </w:pPr>
      <m:oMathPara>
        <m:oMath>
          <m:f>
            <m:fPr>
              <m:ctrlPr>
                <w:rPr>
                  <w:rFonts w:ascii="Cambria Math" w:hAnsi="Cambria Math"/>
                  <w:b/>
                  <w:i/>
                </w:rPr>
              </m:ctrlPr>
            </m:fPr>
            <m:num>
              <m:r>
                <m:rPr>
                  <m:sty m:val="bi"/>
                </m:rPr>
                <w:rPr>
                  <w:rFonts w:ascii="Cambria Math" w:hAnsi="Cambria Math" w:cs="Cambria Math"/>
                </w:rPr>
                <m:t>The number of children who achieved permanecy within 12 months</m:t>
              </m:r>
            </m:num>
            <m:den>
              <m:r>
                <m:rPr>
                  <m:sty m:val="bi"/>
                </m:rPr>
                <w:rPr>
                  <w:rFonts w:ascii="Cambria Math" w:hAnsi="Cambria Math" w:cs="Cambria Math"/>
                </w:rPr>
                <m:t>The total number of children in OHC between twelve and twenty-three months</m:t>
              </m:r>
            </m:den>
          </m:f>
        </m:oMath>
      </m:oMathPara>
    </w:p>
    <w:p w14:paraId="629E91DF" w14:textId="39302691" w:rsidR="00C62EB7" w:rsidRPr="00F25913" w:rsidRDefault="000842C2" w:rsidP="00C62EB7">
      <w:r>
        <w:rPr>
          <w:b/>
          <w:bCs/>
        </w:rPr>
        <w:t>Standard</w:t>
      </w:r>
      <w:r w:rsidR="00C62EB7" w:rsidRPr="009A2E54">
        <w:rPr>
          <w:b/>
          <w:bCs/>
        </w:rPr>
        <w:t>:</w:t>
      </w:r>
      <w:r w:rsidR="00C62EB7">
        <w:t xml:space="preserve">  4</w:t>
      </w:r>
      <w:r w:rsidR="00DE13AC">
        <w:t>3.8</w:t>
      </w:r>
      <w:r w:rsidR="00C62EB7">
        <w:t>%, based on national standards.</w:t>
      </w:r>
    </w:p>
    <w:bookmarkEnd w:id="21"/>
    <w:p w14:paraId="02504E16" w14:textId="77777777" w:rsidR="000E4E38" w:rsidRDefault="000E4E38" w:rsidP="00217FF4">
      <w:pPr>
        <w:sectPr w:rsidR="000E4E38" w:rsidSect="00D22079">
          <w:headerReference w:type="default" r:id="rId16"/>
          <w:pgSz w:w="12240" w:h="15840"/>
          <w:pgMar w:top="1440" w:right="1440" w:bottom="1440" w:left="1440" w:header="720" w:footer="720" w:gutter="0"/>
          <w:cols w:space="720"/>
          <w:titlePg/>
          <w:docGrid w:linePitch="360"/>
        </w:sectPr>
      </w:pPr>
    </w:p>
    <w:p w14:paraId="36AA2D71" w14:textId="77777777" w:rsidR="00F42AFA" w:rsidRPr="00C007DE" w:rsidRDefault="00F42AFA" w:rsidP="00F42AFA">
      <w:pPr>
        <w:pStyle w:val="Heading1"/>
        <w:spacing w:line="23" w:lineRule="atLeast"/>
        <w:rPr>
          <w:szCs w:val="22"/>
        </w:rPr>
      </w:pPr>
      <w:bookmarkStart w:id="25" w:name="_Toc50665908"/>
      <w:bookmarkStart w:id="26" w:name="_Toc81913949"/>
      <w:bookmarkStart w:id="27" w:name="_Toc127779919"/>
      <w:r w:rsidRPr="00C007DE">
        <w:rPr>
          <w:szCs w:val="22"/>
        </w:rPr>
        <w:lastRenderedPageBreak/>
        <w:t>Percentage of Children Placed with Relatives or Non-Relatives</w:t>
      </w:r>
      <w:bookmarkEnd w:id="25"/>
      <w:bookmarkEnd w:id="26"/>
      <w:bookmarkEnd w:id="27"/>
    </w:p>
    <w:p w14:paraId="399E0DBC" w14:textId="77777777" w:rsidR="00F42AFA" w:rsidRPr="005531A2" w:rsidRDefault="00F42AFA" w:rsidP="00F42AFA">
      <w:pPr>
        <w:spacing w:line="23" w:lineRule="atLeast"/>
      </w:pPr>
      <w:r w:rsidRPr="001A11DA">
        <w:rPr>
          <w:b/>
          <w:bCs/>
        </w:rPr>
        <w:t>Ownership</w:t>
      </w:r>
      <w:r>
        <w:rPr>
          <w:b/>
          <w:bCs/>
        </w:rPr>
        <w:t xml:space="preserve">:  </w:t>
      </w:r>
      <w:r>
        <w:t>The case management program is responsible for attempting to place children in kinship care on their initial placement.</w:t>
      </w:r>
    </w:p>
    <w:p w14:paraId="7F81BC49" w14:textId="77777777" w:rsidR="00F42AFA" w:rsidRPr="00002802" w:rsidRDefault="00F42AFA" w:rsidP="00F42AFA">
      <w:pPr>
        <w:spacing w:line="23" w:lineRule="atLeast"/>
      </w:pPr>
      <w:r w:rsidRPr="009A2E54">
        <w:rPr>
          <w:b/>
          <w:bCs/>
        </w:rPr>
        <w:t>Description:</w:t>
      </w:r>
      <w:r>
        <w:t xml:space="preserve">  </w:t>
      </w:r>
      <w:r w:rsidRPr="00A31928">
        <w:t>T</w:t>
      </w:r>
      <w:r>
        <w:t>his is t</w:t>
      </w:r>
      <w:r w:rsidRPr="00A31928">
        <w:t>he percent</w:t>
      </w:r>
      <w:r>
        <w:t>age</w:t>
      </w:r>
      <w:r w:rsidRPr="00A31928">
        <w:t xml:space="preserve"> of children </w:t>
      </w:r>
      <w:r>
        <w:t>who are placed</w:t>
      </w:r>
      <w:r w:rsidRPr="00A31928">
        <w:t xml:space="preserve"> in out-of-home care with a family member or person known to the family</w:t>
      </w:r>
      <w:r>
        <w:t>. Florida Statute 39.5085 recognizes the value of kinship placements in its establishment of the Relative Caregiver Program. This statute states that it is the intent of the Legislature to acknowledge the valued resource available through grandparents and relatives of children, and specified nonrelatives of children. It further states the intent to recognize family relationships in which a grandparent or other relative is the head of a household that includes a child otherwise at risk of foster placement and to enhance family preservation through its utilization of such placements.</w:t>
      </w:r>
    </w:p>
    <w:p w14:paraId="2F21384D" w14:textId="77777777" w:rsidR="00F42AFA" w:rsidRDefault="00F42AFA" w:rsidP="00F42AFA">
      <w:pPr>
        <w:spacing w:line="23" w:lineRule="atLeast"/>
      </w:pPr>
      <w:r w:rsidRPr="001C6944">
        <w:rPr>
          <w:b/>
          <w:bCs/>
        </w:rPr>
        <w:t>Research Base:</w:t>
      </w:r>
      <w:r>
        <w:t xml:space="preserve"> </w:t>
      </w:r>
      <w:r w:rsidRPr="00A31928">
        <w:t>Studies suggest that children in kinship care fare better with behavioral and social skills problems, mental health therapy use, and psychotropic medication use (Sakai, Lin, and Flores 2011). A systemic review found</w:t>
      </w:r>
      <w:r>
        <w:t xml:space="preserve"> that</w:t>
      </w:r>
      <w:r w:rsidRPr="00A31928">
        <w:t xml:space="preserve"> compared to children in foster care, children in kinship care </w:t>
      </w:r>
      <w:r>
        <w:t xml:space="preserve">also </w:t>
      </w:r>
      <w:r w:rsidRPr="00A31928">
        <w:t xml:space="preserve">experience </w:t>
      </w:r>
      <w:r>
        <w:t>increased</w:t>
      </w:r>
      <w:r w:rsidRPr="00A31928">
        <w:t xml:space="preserve"> well-being, less placement disruption, fewer mental health services, and similar reunification rates </w:t>
      </w:r>
      <w:r>
        <w:t>(</w:t>
      </w:r>
      <w:r w:rsidRPr="00A31928">
        <w:t>Winokur, Holdan, and Batchelder 2015).  Across studies, children in kinship care experience greater permanency in terms of a lower rate of reentry, greater placement stability, and more guardianship placements in comparison to children living with foster families</w:t>
      </w:r>
      <w:r>
        <w:t xml:space="preserve"> </w:t>
      </w:r>
      <w:r w:rsidRPr="00A31928">
        <w:t xml:space="preserve">(Bell and Romano 2015). </w:t>
      </w:r>
    </w:p>
    <w:p w14:paraId="2879BE83" w14:textId="77777777" w:rsidR="00F42AFA" w:rsidRDefault="00F42AFA" w:rsidP="00F42AFA">
      <w:pPr>
        <w:spacing w:line="23" w:lineRule="atLeast"/>
      </w:pPr>
      <w:r>
        <w:rPr>
          <w:b/>
          <w:bCs/>
        </w:rPr>
        <w:t>Report Period</w:t>
      </w:r>
      <w:r w:rsidRPr="001C6944">
        <w:rPr>
          <w:b/>
          <w:bCs/>
        </w:rPr>
        <w:t>:</w:t>
      </w:r>
      <w:r>
        <w:t xml:space="preserve">  Each month of the quarter pulled individually and the values totaled to calculate the quarter  </w:t>
      </w:r>
    </w:p>
    <w:p w14:paraId="618E6794" w14:textId="66EC8BF3" w:rsidR="00F42AFA" w:rsidRPr="00B263AD" w:rsidRDefault="00F42AFA" w:rsidP="00F42AFA">
      <w:pPr>
        <w:spacing w:line="23" w:lineRule="atLeast"/>
      </w:pPr>
      <w:r>
        <w:rPr>
          <w:b/>
          <w:bCs/>
        </w:rPr>
        <w:t>Source:</w:t>
      </w:r>
      <w:r>
        <w:t xml:space="preserve"> FSFN Report #13</w:t>
      </w:r>
      <w:r w:rsidR="009B5375">
        <w:t>25</w:t>
      </w:r>
    </w:p>
    <w:p w14:paraId="2F287740" w14:textId="77777777" w:rsidR="00F42AFA" w:rsidRDefault="00F42AFA" w:rsidP="00F42AFA">
      <w:pPr>
        <w:tabs>
          <w:tab w:val="left" w:pos="6549"/>
        </w:tabs>
        <w:spacing w:line="23" w:lineRule="atLeast"/>
        <w:rPr>
          <w:b/>
          <w:bCs/>
        </w:rPr>
      </w:pPr>
      <w:r>
        <w:rPr>
          <w:b/>
          <w:bCs/>
        </w:rPr>
        <w:t>Calculation:</w:t>
      </w:r>
    </w:p>
    <w:p w14:paraId="3E73ADF6" w14:textId="77777777" w:rsidR="00F42AFA" w:rsidRPr="002857A3" w:rsidRDefault="00000000" w:rsidP="00F42AFA">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Children placed in relative or non-relative care</m:t>
              </m:r>
              <m:r>
                <m:rPr>
                  <m:sty m:val="bi"/>
                </m:rPr>
                <w:rPr>
                  <w:rStyle w:val="FootnoteReference"/>
                  <w:rFonts w:ascii="Cambria Math" w:hAnsi="Cambria Math"/>
                  <w:b/>
                  <w:i/>
                </w:rPr>
                <w:footnoteReference w:id="2"/>
              </m:r>
              <m:r>
                <m:rPr>
                  <m:sty m:val="bi"/>
                </m:rPr>
                <w:rPr>
                  <w:rFonts w:ascii="Cambria Math" w:hAnsi="Cambria Math"/>
                </w:rPr>
                <m:t xml:space="preserve"> </m:t>
              </m:r>
            </m:num>
            <m:den>
              <m:r>
                <m:rPr>
                  <m:sty m:val="bi"/>
                </m:rPr>
                <w:rPr>
                  <w:rFonts w:ascii="Cambria Math" w:hAnsi="Cambria Math"/>
                </w:rPr>
                <m:t>The total number of children in OHC</m:t>
              </m:r>
            </m:den>
          </m:f>
        </m:oMath>
      </m:oMathPara>
    </w:p>
    <w:p w14:paraId="76E59CCB" w14:textId="3AA49564" w:rsidR="00F42AFA" w:rsidRDefault="000842C2" w:rsidP="00F42AFA">
      <w:pPr>
        <w:tabs>
          <w:tab w:val="left" w:pos="6549"/>
        </w:tabs>
        <w:spacing w:line="23" w:lineRule="atLeast"/>
      </w:pPr>
      <w:r>
        <w:rPr>
          <w:b/>
          <w:bCs/>
        </w:rPr>
        <w:t>Standard</w:t>
      </w:r>
      <w:r w:rsidR="00F42AFA" w:rsidRPr="001C6944">
        <w:rPr>
          <w:b/>
          <w:bCs/>
        </w:rPr>
        <w:t>:</w:t>
      </w:r>
      <w:r w:rsidR="00F42AFA">
        <w:t xml:space="preserve">  6</w:t>
      </w:r>
      <w:r w:rsidR="001C0779">
        <w:t>0</w:t>
      </w:r>
      <w:r w:rsidR="005404E9">
        <w:t>%</w:t>
      </w:r>
    </w:p>
    <w:p w14:paraId="0996AABE" w14:textId="77777777" w:rsidR="00F42AFA" w:rsidRDefault="00F42AFA">
      <w:r>
        <w:br w:type="page"/>
      </w:r>
    </w:p>
    <w:p w14:paraId="742103B3" w14:textId="77777777" w:rsidR="00F42AFA" w:rsidRPr="00FA2195" w:rsidRDefault="00F42AFA" w:rsidP="00F42AFA">
      <w:pPr>
        <w:pStyle w:val="Heading1"/>
        <w:spacing w:line="23" w:lineRule="atLeast"/>
        <w:rPr>
          <w:rFonts w:ascii="Calibri" w:hAnsi="Calibri"/>
          <w:b w:val="0"/>
          <w:bCs w:val="0"/>
        </w:rPr>
      </w:pPr>
      <w:bookmarkStart w:id="28" w:name="_Toc50665905"/>
      <w:bookmarkStart w:id="29" w:name="_Toc81913950"/>
      <w:bookmarkStart w:id="30" w:name="_Toc127779920"/>
      <w:r w:rsidRPr="00FA2195">
        <w:lastRenderedPageBreak/>
        <w:t>Rate of Placement Moves per 1,000 Bed Days in Out-of-Home Care</w:t>
      </w:r>
      <w:bookmarkEnd w:id="28"/>
      <w:bookmarkEnd w:id="29"/>
      <w:bookmarkEnd w:id="30"/>
    </w:p>
    <w:p w14:paraId="3197F193" w14:textId="77777777" w:rsidR="00F42AFA" w:rsidRPr="005531A2" w:rsidRDefault="00F42AFA" w:rsidP="00F42AFA">
      <w:pPr>
        <w:spacing w:line="23" w:lineRule="atLeast"/>
      </w:pPr>
      <w:r w:rsidRPr="005531A2">
        <w:rPr>
          <w:b/>
          <w:bCs/>
        </w:rPr>
        <w:t xml:space="preserve">Ownership:  </w:t>
      </w:r>
      <w:r w:rsidRPr="00092F11">
        <w:t xml:space="preserve">The case management program is responsible for </w:t>
      </w:r>
      <w:r>
        <w:t>placing children in residences that are most likely to be permanent to reduce the number of moves.</w:t>
      </w:r>
    </w:p>
    <w:p w14:paraId="2D1B5E82" w14:textId="77777777" w:rsidR="00F42AFA" w:rsidRPr="005531A2" w:rsidRDefault="00F42AFA" w:rsidP="00F42AFA">
      <w:pPr>
        <w:spacing w:line="23" w:lineRule="atLeast"/>
      </w:pPr>
      <w:r w:rsidRPr="005531A2">
        <w:rPr>
          <w:b/>
          <w:bCs/>
        </w:rPr>
        <w:t>Description:</w:t>
      </w:r>
      <w:r w:rsidRPr="005531A2">
        <w:t xml:space="preserve">  T</w:t>
      </w:r>
      <w:r>
        <w:t>his is t</w:t>
      </w:r>
      <w:r w:rsidRPr="005531A2">
        <w:t xml:space="preserve">he rate at which children change placements while in </w:t>
      </w:r>
      <w:bookmarkStart w:id="31" w:name="_Hlk47690050"/>
      <w:r w:rsidRPr="005531A2">
        <w:t>out-of-home</w:t>
      </w:r>
      <w:bookmarkEnd w:id="31"/>
      <w:r w:rsidRPr="005531A2">
        <w:t xml:space="preserve"> care during the report period.</w:t>
      </w:r>
      <w:r>
        <w:t xml:space="preserve"> Florida Statute (39.5085) supports the minimization of placement moves by supporting the development of liaison function to relatives and nonrelatives to ensure placement stability. Further, providing safe and stable placements for children aligns with the DCF mission for best practices relating to evidence-based child welfare. </w:t>
      </w:r>
    </w:p>
    <w:p w14:paraId="0E056D5B" w14:textId="77777777" w:rsidR="00F42AFA" w:rsidRDefault="00F42AFA" w:rsidP="00F42AFA">
      <w:pPr>
        <w:spacing w:line="23" w:lineRule="atLeast"/>
      </w:pPr>
      <w:r w:rsidRPr="005531A2">
        <w:rPr>
          <w:b/>
          <w:bCs/>
        </w:rPr>
        <w:t>Research Base:</w:t>
      </w:r>
      <w:r w:rsidRPr="005531A2">
        <w:t xml:space="preserve">  </w:t>
      </w:r>
      <w:r>
        <w:t>Children with greater placement instability (higher number of moves), on average, have increased rates of delinquency, aggression, depression, and trauma symptoms (</w:t>
      </w:r>
      <w:r w:rsidRPr="00D76B27">
        <w:t>Mishra, Schwab-Reese, &amp; Murfree, 2020)</w:t>
      </w:r>
      <w:r>
        <w:t>.</w:t>
      </w:r>
    </w:p>
    <w:p w14:paraId="01410485" w14:textId="5CE4C466" w:rsidR="00F42AFA" w:rsidRDefault="00F42AFA" w:rsidP="00F42AFA">
      <w:pPr>
        <w:spacing w:line="23" w:lineRule="atLeast"/>
      </w:pPr>
      <w:r>
        <w:rPr>
          <w:b/>
          <w:bCs/>
        </w:rPr>
        <w:t>Report Period</w:t>
      </w:r>
      <w:r w:rsidRPr="005531A2">
        <w:rPr>
          <w:b/>
          <w:bCs/>
        </w:rPr>
        <w:t xml:space="preserve">: </w:t>
      </w:r>
      <w:r w:rsidRPr="005531A2">
        <w:t xml:space="preserve"> </w:t>
      </w:r>
      <w:r w:rsidR="009B5375">
        <w:t>The year previous from the report date</w:t>
      </w:r>
    </w:p>
    <w:p w14:paraId="3657083B" w14:textId="235ADBCF" w:rsidR="00F42AFA" w:rsidRPr="00B263AD" w:rsidRDefault="00F42AFA" w:rsidP="00F42AFA">
      <w:pPr>
        <w:spacing w:line="23" w:lineRule="atLeast"/>
      </w:pPr>
      <w:r>
        <w:rPr>
          <w:b/>
          <w:bCs/>
        </w:rPr>
        <w:t xml:space="preserve">Source: </w:t>
      </w:r>
      <w:r>
        <w:t>FSFN Report #1</w:t>
      </w:r>
      <w:r w:rsidR="009B5375">
        <w:t>320</w:t>
      </w:r>
    </w:p>
    <w:p w14:paraId="43E395D4" w14:textId="77777777" w:rsidR="00F42AFA" w:rsidRDefault="00F42AFA" w:rsidP="00F42AFA">
      <w:pPr>
        <w:spacing w:line="23" w:lineRule="atLeast"/>
        <w:rPr>
          <w:b/>
          <w:bCs/>
        </w:rPr>
      </w:pPr>
      <w:r>
        <w:rPr>
          <w:b/>
          <w:bCs/>
        </w:rPr>
        <w:t>Calculation:</w:t>
      </w:r>
    </w:p>
    <w:p w14:paraId="0CF7B585" w14:textId="77777777" w:rsidR="00F42AFA" w:rsidRPr="00052466" w:rsidRDefault="00F42AFA" w:rsidP="00F42AFA">
      <w:pPr>
        <w:spacing w:line="23" w:lineRule="atLeast"/>
        <w:rPr>
          <w:rFonts w:eastAsiaTheme="minorEastAsia"/>
          <w:b/>
          <w:bCs/>
        </w:rPr>
      </w:pPr>
      <m:oMathPara>
        <m:oMath>
          <m:r>
            <m:rPr>
              <m:sty m:val="bi"/>
            </m:rPr>
            <w:rPr>
              <w:rFonts w:ascii="Cambria Math" w:hAnsi="Cambria Math"/>
            </w:rPr>
            <m:t>(</m:t>
          </m:r>
          <m:f>
            <m:fPr>
              <m:ctrlPr>
                <w:rPr>
                  <w:rFonts w:ascii="Cambria Math" w:hAnsi="Cambria Math"/>
                  <w:b/>
                  <w:bCs/>
                  <w:i/>
                </w:rPr>
              </m:ctrlPr>
            </m:fPr>
            <m:num>
              <m:r>
                <m:rPr>
                  <m:sty m:val="bi"/>
                </m:rPr>
                <w:rPr>
                  <w:rFonts w:ascii="Cambria Math" w:hAnsi="Cambria Math"/>
                </w:rPr>
                <m:t>Total number of placement moves during the report periods</m:t>
              </m:r>
            </m:num>
            <m:den>
              <m:eqArr>
                <m:eqArrPr>
                  <m:ctrlPr>
                    <w:rPr>
                      <w:rFonts w:ascii="Cambria Math" w:hAnsi="Cambria Math"/>
                      <w:b/>
                      <w:i/>
                    </w:rPr>
                  </m:ctrlPr>
                </m:eqArrPr>
                <m:e>
                  <m:r>
                    <m:rPr>
                      <m:sty m:val="bi"/>
                    </m:rPr>
                    <w:rPr>
                      <w:rFonts w:ascii="Cambria Math" w:hAnsi="Cambria Math"/>
                    </w:rPr>
                    <m:t xml:space="preserve">The total number of days in OHC during the report </m:t>
                  </m:r>
                </m:e>
                <m:e>
                  <m:r>
                    <m:rPr>
                      <m:sty m:val="bi"/>
                    </m:rPr>
                    <w:rPr>
                      <w:rFonts w:ascii="Cambria Math" w:hAnsi="Cambria Math"/>
                    </w:rPr>
                    <m:t>period for children entering OHC during the report period</m:t>
                  </m:r>
                </m:e>
              </m:eqArr>
              <m:r>
                <m:rPr>
                  <m:sty m:val="bi"/>
                </m:rPr>
                <w:rPr>
                  <w:rFonts w:ascii="Cambria Math" w:hAnsi="Cambria Math"/>
                </w:rPr>
                <m:t>)</m:t>
              </m:r>
            </m:den>
          </m:f>
          <m:r>
            <m:rPr>
              <m:sty m:val="bi"/>
            </m:rPr>
            <w:rPr>
              <w:rFonts w:ascii="Cambria Math" w:eastAsiaTheme="minorEastAsia" w:hAnsi="Cambria Math"/>
            </w:rPr>
            <m:t>*1,000</m:t>
          </m:r>
        </m:oMath>
      </m:oMathPara>
    </w:p>
    <w:p w14:paraId="15FB5815" w14:textId="0B4A0D5A" w:rsidR="00F42AFA" w:rsidRPr="005531A2" w:rsidRDefault="000842C2" w:rsidP="00F42AFA">
      <w:pPr>
        <w:spacing w:line="23" w:lineRule="atLeast"/>
      </w:pPr>
      <w:r>
        <w:rPr>
          <w:b/>
          <w:bCs/>
        </w:rPr>
        <w:t>Standard</w:t>
      </w:r>
      <w:r w:rsidR="00F42AFA" w:rsidRPr="005531A2">
        <w:rPr>
          <w:b/>
          <w:bCs/>
        </w:rPr>
        <w:t>:</w:t>
      </w:r>
      <w:r w:rsidR="00F42AFA" w:rsidRPr="005531A2">
        <w:t xml:space="preserve">  </w:t>
      </w:r>
      <w:r w:rsidR="00F42AFA">
        <w:t xml:space="preserve">Less than </w:t>
      </w:r>
      <w:r w:rsidR="00F42AFA" w:rsidRPr="005531A2">
        <w:t>4</w:t>
      </w:r>
      <w:r w:rsidR="00DE13AC">
        <w:t>.5</w:t>
      </w:r>
      <w:r w:rsidR="00F42AFA" w:rsidRPr="005531A2">
        <w:t xml:space="preserve"> Moves per 1,000 bed days</w:t>
      </w:r>
      <w:r w:rsidR="005404E9">
        <w:t>,</w:t>
      </w:r>
      <w:r w:rsidR="00F42AFA">
        <w:t xml:space="preserve"> federal standard.</w:t>
      </w:r>
    </w:p>
    <w:p w14:paraId="5AD00397" w14:textId="127DEF9A" w:rsidR="001C0779" w:rsidRDefault="00F42AFA">
      <w:r>
        <w:br w:type="page"/>
      </w:r>
    </w:p>
    <w:p w14:paraId="4971D089" w14:textId="3987E833" w:rsidR="0025625E" w:rsidRDefault="001C0779" w:rsidP="001C0779">
      <w:pPr>
        <w:pStyle w:val="Heading1"/>
      </w:pPr>
      <w:bookmarkStart w:id="32" w:name="_Toc127779921"/>
      <w:r>
        <w:lastRenderedPageBreak/>
        <w:t>Percent of Children who Do Not Re-Enter Out-of-Home Care within 12 Months of Exit from Out-of-Home Care</w:t>
      </w:r>
      <w:bookmarkEnd w:id="32"/>
    </w:p>
    <w:p w14:paraId="3E17C304" w14:textId="4CDF106A" w:rsidR="00B515F6" w:rsidRDefault="00B515F6" w:rsidP="00B515F6">
      <w:pPr>
        <w:spacing w:line="23" w:lineRule="atLeast"/>
      </w:pPr>
      <w:r w:rsidRPr="009A2E54">
        <w:rPr>
          <w:b/>
          <w:bCs/>
        </w:rPr>
        <w:t>Description:</w:t>
      </w:r>
      <w:r>
        <w:t xml:space="preserve"> </w:t>
      </w:r>
      <w:r w:rsidRPr="004A4273">
        <w:t xml:space="preserve"> </w:t>
      </w:r>
      <w:r w:rsidR="00912940">
        <w:t xml:space="preserve">This metric is the percent of exits from out-of-home care to permanency for a cohort of children who entered out-of-home care during the report period and exited within twelve months of entering and do not re-enter out-of-home care within 12 months of their permanency date. It is the goal of the Department to achieve permanency as quickly as possible for children in out-of-home care and to ensure that children are placed in a safe environment. </w:t>
      </w:r>
      <w:r>
        <w:t xml:space="preserve"> </w:t>
      </w:r>
    </w:p>
    <w:p w14:paraId="35FC98CF" w14:textId="7B7D8B20" w:rsidR="00B515F6" w:rsidRDefault="00B515F6" w:rsidP="00B515F6">
      <w:pPr>
        <w:spacing w:line="23" w:lineRule="atLeast"/>
      </w:pPr>
      <w:r w:rsidRPr="009A2E54">
        <w:rPr>
          <w:b/>
          <w:bCs/>
        </w:rPr>
        <w:t>Research Base:</w:t>
      </w:r>
      <w:r>
        <w:t xml:space="preserve">  </w:t>
      </w:r>
      <w:r w:rsidR="000E68BA">
        <w:t>While much research focus has been on services that prevent children from entering out of home care for the first time, it is equally important to recognize the risks for children who have already experienced a removal episode. Exiting and re-entering out-of-home care may have long-lasting, negative consequences for children due to a lack of stability and continuity. Preventing children from re-entering care decreases the trauma experienced by the child, trauma which has impacts on the child’s, such as poor psychological, social and academic outcomes (Chambers, R., 2018). Children are also less likely to be reunified if they have reentered foster care (McGrath-Lone, Dearden, Harron</w:t>
      </w:r>
      <w:r w:rsidR="00B16772">
        <w:t>, Nasim &amp; Gilbert, 2017).</w:t>
      </w:r>
      <w:r w:rsidR="000E68BA">
        <w:t xml:space="preserve"> </w:t>
      </w:r>
    </w:p>
    <w:p w14:paraId="367F056E" w14:textId="0D550567" w:rsidR="00B515F6" w:rsidRPr="009A2E54" w:rsidRDefault="00B515F6" w:rsidP="00B515F6">
      <w:pPr>
        <w:spacing w:line="23" w:lineRule="atLeast"/>
      </w:pPr>
      <w:r>
        <w:rPr>
          <w:b/>
          <w:bCs/>
        </w:rPr>
        <w:t>Report Period</w:t>
      </w:r>
      <w:r w:rsidRPr="009A2E54">
        <w:rPr>
          <w:b/>
          <w:bCs/>
        </w:rPr>
        <w:t xml:space="preserve">: </w:t>
      </w:r>
      <w:r w:rsidR="00912940">
        <w:t>The month ending twenty-four months prior to the end of the report month.</w:t>
      </w:r>
      <w:r w:rsidRPr="009A2E54">
        <w:t xml:space="preserve"> </w:t>
      </w:r>
      <w:r>
        <w:t xml:space="preserve">  </w:t>
      </w:r>
    </w:p>
    <w:p w14:paraId="42002AB2" w14:textId="23F6DD6B" w:rsidR="00B515F6" w:rsidRPr="00BF3656" w:rsidRDefault="00B515F6" w:rsidP="00B515F6">
      <w:pPr>
        <w:spacing w:line="23" w:lineRule="atLeast"/>
      </w:pPr>
      <w:r>
        <w:rPr>
          <w:b/>
          <w:bCs/>
        </w:rPr>
        <w:t xml:space="preserve">Source: </w:t>
      </w:r>
      <w:r>
        <w:t>FSFN Report #11</w:t>
      </w:r>
      <w:r w:rsidR="00B16772">
        <w:t>00</w:t>
      </w:r>
    </w:p>
    <w:p w14:paraId="1B72D16C" w14:textId="77777777" w:rsidR="00B515F6" w:rsidRDefault="00B515F6" w:rsidP="00B515F6">
      <w:pPr>
        <w:spacing w:line="23" w:lineRule="atLeast"/>
        <w:rPr>
          <w:b/>
          <w:bCs/>
        </w:rPr>
      </w:pPr>
      <w:r>
        <w:rPr>
          <w:b/>
          <w:bCs/>
        </w:rPr>
        <w:t>Calculation:</w:t>
      </w:r>
    </w:p>
    <w:p w14:paraId="1ED8DF26" w14:textId="22546F7D" w:rsidR="00B515F6" w:rsidRDefault="00000000" w:rsidP="00B515F6">
      <w:pPr>
        <w:spacing w:line="23" w:lineRule="atLeast"/>
        <w:rPr>
          <w:b/>
          <w:bCs/>
        </w:rPr>
      </w:pPr>
      <m:oMathPara>
        <m:oMath>
          <m:f>
            <m:fPr>
              <m:ctrlPr>
                <w:rPr>
                  <w:rFonts w:ascii="Cambria Math" w:hAnsi="Cambria Math"/>
                  <w:b/>
                  <w:bCs/>
                  <w:i/>
                </w:rPr>
              </m:ctrlPr>
            </m:fPr>
            <m:num>
              <m:r>
                <m:rPr>
                  <m:sty m:val="bi"/>
                </m:rPr>
                <w:rPr>
                  <w:rFonts w:ascii="Cambria Math" w:hAnsi="Cambria Math"/>
                </w:rPr>
                <m:t xml:space="preserve">The number of children who rentered foster care with 12 months of their discharge </m:t>
              </m:r>
            </m:num>
            <m:den>
              <m:r>
                <m:rPr>
                  <m:sty m:val="bi"/>
                </m:rPr>
                <w:rPr>
                  <w:rFonts w:ascii="Cambria Math" w:hAnsi="Cambria Math"/>
                </w:rPr>
                <m:t>All child children who exit foster care in a 12-month period to permanency</m:t>
              </m:r>
            </m:den>
          </m:f>
        </m:oMath>
      </m:oMathPara>
    </w:p>
    <w:p w14:paraId="00F57027" w14:textId="3D7E231B" w:rsidR="00B515F6" w:rsidRPr="00213A49" w:rsidRDefault="00B515F6" w:rsidP="00B515F6">
      <w:pPr>
        <w:spacing w:line="23" w:lineRule="atLeast"/>
      </w:pPr>
      <w:r>
        <w:rPr>
          <w:b/>
          <w:bCs/>
        </w:rPr>
        <w:t>Standard</w:t>
      </w:r>
      <w:r w:rsidRPr="009A2E54">
        <w:rPr>
          <w:b/>
          <w:bCs/>
        </w:rPr>
        <w:t>:</w:t>
      </w:r>
      <w:r>
        <w:t xml:space="preserve">  </w:t>
      </w:r>
      <w:r w:rsidR="00B16772">
        <w:t>94.4</w:t>
      </w:r>
      <w:r>
        <w:t>%</w:t>
      </w:r>
    </w:p>
    <w:p w14:paraId="2DE3B86E" w14:textId="77777777" w:rsidR="00B515F6" w:rsidRPr="00B515F6" w:rsidRDefault="00B515F6" w:rsidP="00B515F6"/>
    <w:p w14:paraId="6570B43D" w14:textId="2FBF873D" w:rsidR="001C0779" w:rsidRDefault="001C0779">
      <w:r>
        <w:br w:type="page"/>
      </w:r>
    </w:p>
    <w:p w14:paraId="61B40B65" w14:textId="162FBCE0" w:rsidR="00912940" w:rsidRDefault="001C0779" w:rsidP="001C0779">
      <w:pPr>
        <w:pStyle w:val="Heading1"/>
      </w:pPr>
      <w:bookmarkStart w:id="33" w:name="_Toc127779922"/>
      <w:r>
        <w:lastRenderedPageBreak/>
        <w:t>Qualitative Index for Permanency</w:t>
      </w:r>
      <w:bookmarkEnd w:id="33"/>
    </w:p>
    <w:p w14:paraId="76C1EADB" w14:textId="3CCA844B" w:rsidR="001868AC" w:rsidRDefault="001868AC" w:rsidP="001868AC">
      <w:pPr>
        <w:spacing w:line="23" w:lineRule="atLeast"/>
      </w:pPr>
      <w:r w:rsidRPr="009A2E54">
        <w:rPr>
          <w:b/>
          <w:bCs/>
        </w:rPr>
        <w:t>Description:</w:t>
      </w:r>
      <w:r w:rsidRPr="00CC645B">
        <w:t xml:space="preserve"> </w:t>
      </w:r>
      <w:r>
        <w:t>This is the overall performance on permanency related items, items 4-1</w:t>
      </w:r>
      <w:r w:rsidR="00C26000">
        <w:t>1</w:t>
      </w:r>
      <w:r>
        <w:t>, on the Life of Case Investigations and Life of Case On-Going Services tools.</w:t>
      </w:r>
    </w:p>
    <w:p w14:paraId="4481A0E7" w14:textId="77777777" w:rsidR="001868AC" w:rsidRDefault="001868AC" w:rsidP="001868AC">
      <w:pPr>
        <w:spacing w:line="23" w:lineRule="atLeast"/>
      </w:pPr>
      <w:r>
        <w:rPr>
          <w:b/>
          <w:bCs/>
        </w:rPr>
        <w:t>Report Period</w:t>
      </w:r>
      <w:r w:rsidRPr="009A2E54">
        <w:rPr>
          <w:b/>
          <w:bCs/>
        </w:rPr>
        <w:t xml:space="preserve">: </w:t>
      </w:r>
      <w:r w:rsidRPr="009A2E54">
        <w:t xml:space="preserve"> </w:t>
      </w:r>
      <w:r>
        <w:t>The last day of the month at the end of the report month</w:t>
      </w:r>
    </w:p>
    <w:p w14:paraId="3C068EFE" w14:textId="77777777" w:rsidR="001868AC" w:rsidRDefault="001868AC" w:rsidP="001868AC">
      <w:pPr>
        <w:spacing w:line="23" w:lineRule="atLeast"/>
      </w:pPr>
      <w:r>
        <w:rPr>
          <w:b/>
          <w:bCs/>
        </w:rPr>
        <w:t xml:space="preserve">Source: </w:t>
      </w:r>
      <w:r>
        <w:t xml:space="preserve">Life of Case Investigations and Life of Case On-Going Services Review Tool. </w:t>
      </w:r>
    </w:p>
    <w:p w14:paraId="62A86E47" w14:textId="37925210" w:rsidR="001868AC" w:rsidRPr="002F13BE" w:rsidRDefault="001868AC" w:rsidP="001868AC">
      <w:pPr>
        <w:spacing w:before="0" w:after="0" w:line="240" w:lineRule="auto"/>
        <w:rPr>
          <w:b/>
          <w:bCs/>
        </w:rPr>
      </w:pPr>
      <w:r w:rsidRPr="002F13BE">
        <w:rPr>
          <w:b/>
          <w:bCs/>
        </w:rPr>
        <w:t xml:space="preserve">Item </w:t>
      </w:r>
      <w:r>
        <w:rPr>
          <w:b/>
          <w:bCs/>
        </w:rPr>
        <w:t>4</w:t>
      </w:r>
      <w:r w:rsidRPr="002F13BE">
        <w:rPr>
          <w:b/>
          <w:bCs/>
        </w:rPr>
        <w:t>:</w:t>
      </w:r>
      <w:r w:rsidR="0075677B">
        <w:rPr>
          <w:b/>
          <w:bCs/>
        </w:rPr>
        <w:t xml:space="preserve"> </w:t>
      </w:r>
      <w:r w:rsidR="0075677B" w:rsidRPr="0075677B">
        <w:rPr>
          <w:b/>
          <w:bCs/>
        </w:rPr>
        <w:t>Stability of Foster Care Placement</w:t>
      </w:r>
    </w:p>
    <w:p w14:paraId="729B88FC" w14:textId="0871B72E" w:rsidR="001868AC" w:rsidRDefault="001868AC" w:rsidP="001868AC">
      <w:pPr>
        <w:pStyle w:val="ListParagraph"/>
        <w:numPr>
          <w:ilvl w:val="0"/>
          <w:numId w:val="4"/>
        </w:numPr>
        <w:spacing w:before="0" w:after="0" w:line="240" w:lineRule="auto"/>
      </w:pPr>
      <w:r>
        <w:t>On-Going Services Questions:</w:t>
      </w:r>
    </w:p>
    <w:p w14:paraId="0D8D14B0" w14:textId="32EEF41D" w:rsidR="001868AC" w:rsidRDefault="001868AC" w:rsidP="001868AC">
      <w:pPr>
        <w:pStyle w:val="ListParagraph"/>
        <w:numPr>
          <w:ilvl w:val="1"/>
          <w:numId w:val="4"/>
        </w:numPr>
        <w:spacing w:before="0" w:after="0" w:line="240" w:lineRule="auto"/>
      </w:pPr>
      <w:r w:rsidRPr="001868AC">
        <w:t>Were all placement changes during the period under review planned by the agency in an effort to achieve the child's case goals or to meet the needs of the child?</w:t>
      </w:r>
    </w:p>
    <w:p w14:paraId="75CCFC35" w14:textId="1417BBC7" w:rsidR="001868AC" w:rsidRDefault="001868AC" w:rsidP="001868AC">
      <w:pPr>
        <w:pStyle w:val="ListParagraph"/>
        <w:numPr>
          <w:ilvl w:val="1"/>
          <w:numId w:val="4"/>
        </w:numPr>
        <w:spacing w:before="0" w:after="0" w:line="240" w:lineRule="auto"/>
      </w:pPr>
      <w:r w:rsidRPr="001868AC">
        <w:t>Did the agency make efforts to stabilize placements when there was an indication that the placement was not stable?</w:t>
      </w:r>
    </w:p>
    <w:p w14:paraId="4A82D3FC" w14:textId="6CCAE879" w:rsidR="001868AC" w:rsidRDefault="001868AC" w:rsidP="001868AC">
      <w:pPr>
        <w:spacing w:before="0" w:after="0" w:line="240" w:lineRule="auto"/>
      </w:pPr>
      <w:r>
        <w:rPr>
          <w:b/>
          <w:bCs/>
        </w:rPr>
        <w:t>Item 5:</w:t>
      </w:r>
      <w:r w:rsidR="0075677B">
        <w:rPr>
          <w:b/>
          <w:bCs/>
        </w:rPr>
        <w:t xml:space="preserve"> </w:t>
      </w:r>
      <w:r w:rsidR="0075677B" w:rsidRPr="0075677B">
        <w:rPr>
          <w:b/>
          <w:bCs/>
        </w:rPr>
        <w:t>Permanency Goal for the Child</w:t>
      </w:r>
    </w:p>
    <w:p w14:paraId="7771C684" w14:textId="77777777" w:rsidR="001868AC" w:rsidRDefault="001868AC" w:rsidP="001868AC">
      <w:pPr>
        <w:pStyle w:val="ListParagraph"/>
        <w:numPr>
          <w:ilvl w:val="0"/>
          <w:numId w:val="4"/>
        </w:numPr>
        <w:spacing w:before="0" w:after="0" w:line="240" w:lineRule="auto"/>
      </w:pPr>
      <w:r>
        <w:t>On-Going Services Questions:</w:t>
      </w:r>
    </w:p>
    <w:p w14:paraId="6693C1F9" w14:textId="6D8B8074" w:rsidR="001868AC" w:rsidRDefault="001868AC" w:rsidP="001868AC">
      <w:pPr>
        <w:pStyle w:val="ListParagraph"/>
        <w:numPr>
          <w:ilvl w:val="1"/>
          <w:numId w:val="4"/>
        </w:numPr>
        <w:spacing w:before="0" w:after="0" w:line="240" w:lineRule="auto"/>
      </w:pPr>
      <w:r w:rsidRPr="001868AC">
        <w:t>Are the permanency goals for each child entered accurately in the FSFN Legal Module? (Systemic Factor Information System)</w:t>
      </w:r>
    </w:p>
    <w:p w14:paraId="4D856544" w14:textId="1BCBE711" w:rsidR="001868AC" w:rsidRDefault="001868AC" w:rsidP="001868AC">
      <w:pPr>
        <w:pStyle w:val="ListParagraph"/>
        <w:numPr>
          <w:ilvl w:val="1"/>
          <w:numId w:val="4"/>
        </w:numPr>
        <w:spacing w:before="0" w:after="0" w:line="240" w:lineRule="auto"/>
      </w:pPr>
      <w:r w:rsidRPr="001868AC">
        <w:t>Was an appropriate permanency goal for the child(ren) established in a timely manner?</w:t>
      </w:r>
    </w:p>
    <w:p w14:paraId="118ACC8E" w14:textId="786C33A4" w:rsidR="001868AC" w:rsidRDefault="001868AC" w:rsidP="001868AC">
      <w:pPr>
        <w:pStyle w:val="ListParagraph"/>
        <w:numPr>
          <w:ilvl w:val="1"/>
          <w:numId w:val="4"/>
        </w:numPr>
        <w:spacing w:before="0" w:after="0" w:line="240" w:lineRule="auto"/>
      </w:pPr>
      <w:r w:rsidRPr="001868AC">
        <w:t>The permanency goal(s) in effect were appropriate to the child's need for permanency and to the circumstances of the case?</w:t>
      </w:r>
    </w:p>
    <w:p w14:paraId="1B88EEC1" w14:textId="6A060AD2" w:rsidR="001868AC" w:rsidRDefault="001868AC" w:rsidP="001868AC">
      <w:pPr>
        <w:pStyle w:val="ListParagraph"/>
        <w:numPr>
          <w:ilvl w:val="1"/>
          <w:numId w:val="4"/>
        </w:numPr>
        <w:spacing w:before="0" w:after="0" w:line="240" w:lineRule="auto"/>
      </w:pPr>
      <w:r w:rsidRPr="001868AC">
        <w:t>Was a Termination of Parental Rights petition filed in a timely manner?</w:t>
      </w:r>
    </w:p>
    <w:p w14:paraId="5539794C" w14:textId="041A9EC6" w:rsidR="001868AC" w:rsidRDefault="001868AC" w:rsidP="001868AC">
      <w:pPr>
        <w:spacing w:before="0" w:after="0" w:line="240" w:lineRule="auto"/>
        <w:rPr>
          <w:b/>
          <w:bCs/>
        </w:rPr>
      </w:pPr>
      <w:r>
        <w:rPr>
          <w:b/>
          <w:bCs/>
        </w:rPr>
        <w:t>Item 6:</w:t>
      </w:r>
      <w:r w:rsidR="0075677B" w:rsidRPr="0075677B">
        <w:t xml:space="preserve"> </w:t>
      </w:r>
      <w:r w:rsidR="0075677B" w:rsidRPr="0075677B">
        <w:rPr>
          <w:b/>
          <w:bCs/>
        </w:rPr>
        <w:t>Achieving Reunification, Guardianship, Adoption, or Other Planned Permanent Living Arrangement</w:t>
      </w:r>
    </w:p>
    <w:p w14:paraId="7DE8EAAD" w14:textId="71729575" w:rsidR="001868AC" w:rsidRDefault="001868AC" w:rsidP="001868AC">
      <w:pPr>
        <w:pStyle w:val="ListParagraph"/>
        <w:numPr>
          <w:ilvl w:val="0"/>
          <w:numId w:val="5"/>
        </w:numPr>
        <w:spacing w:before="0" w:after="0" w:line="240" w:lineRule="auto"/>
      </w:pPr>
      <w:r>
        <w:t>On-Going Services Questions:</w:t>
      </w:r>
    </w:p>
    <w:p w14:paraId="53DCAE20" w14:textId="04D9F807" w:rsidR="00100999" w:rsidRDefault="00100999" w:rsidP="00100999">
      <w:pPr>
        <w:pStyle w:val="ListParagraph"/>
        <w:numPr>
          <w:ilvl w:val="1"/>
          <w:numId w:val="5"/>
        </w:numPr>
        <w:spacing w:before="0" w:after="0" w:line="240" w:lineRule="auto"/>
      </w:pPr>
      <w:r w:rsidRPr="00100999">
        <w:t>Concerted efforts were made to achieve the permanency goals of reunification, guardianship, adoption, or other planned permanent living arrangement in a timely manner?</w:t>
      </w:r>
    </w:p>
    <w:p w14:paraId="181F17CB" w14:textId="368A46EB" w:rsidR="00100999" w:rsidRDefault="00100999" w:rsidP="00100999">
      <w:pPr>
        <w:spacing w:before="0" w:after="0" w:line="240" w:lineRule="auto"/>
        <w:rPr>
          <w:b/>
          <w:bCs/>
        </w:rPr>
      </w:pPr>
      <w:r>
        <w:rPr>
          <w:b/>
          <w:bCs/>
        </w:rPr>
        <w:t>Item 7:</w:t>
      </w:r>
      <w:r w:rsidR="0075677B" w:rsidRPr="0075677B">
        <w:t xml:space="preserve"> </w:t>
      </w:r>
      <w:r w:rsidR="0075677B" w:rsidRPr="0075677B">
        <w:rPr>
          <w:b/>
          <w:bCs/>
        </w:rPr>
        <w:t>Placement with Siblings</w:t>
      </w:r>
    </w:p>
    <w:p w14:paraId="11FF4107" w14:textId="531EC949" w:rsidR="00100999" w:rsidRPr="00100999" w:rsidRDefault="00100999" w:rsidP="00100999">
      <w:pPr>
        <w:pStyle w:val="ListParagraph"/>
        <w:numPr>
          <w:ilvl w:val="0"/>
          <w:numId w:val="5"/>
        </w:numPr>
        <w:spacing w:before="0" w:after="0" w:line="240" w:lineRule="auto"/>
        <w:rPr>
          <w:b/>
          <w:bCs/>
        </w:rPr>
      </w:pPr>
      <w:r>
        <w:t>Investigations Questions:</w:t>
      </w:r>
    </w:p>
    <w:p w14:paraId="5F1CDB32" w14:textId="447172B2" w:rsidR="00100999" w:rsidRDefault="00100999" w:rsidP="00100999">
      <w:pPr>
        <w:pStyle w:val="ListParagraph"/>
        <w:numPr>
          <w:ilvl w:val="1"/>
          <w:numId w:val="5"/>
        </w:numPr>
        <w:spacing w:before="0" w:after="0" w:line="240" w:lineRule="auto"/>
      </w:pPr>
      <w:r w:rsidRPr="00100999">
        <w:t>In the case of a removal, the CPI made concerted efforts to place siblings together.</w:t>
      </w:r>
    </w:p>
    <w:p w14:paraId="119E5908" w14:textId="21ECA333" w:rsidR="0075677B" w:rsidRDefault="0075677B" w:rsidP="0075677B">
      <w:pPr>
        <w:pStyle w:val="ListParagraph"/>
        <w:numPr>
          <w:ilvl w:val="0"/>
          <w:numId w:val="5"/>
        </w:numPr>
        <w:spacing w:before="0" w:after="0" w:line="240" w:lineRule="auto"/>
      </w:pPr>
      <w:r>
        <w:t>On-Going Services Questions:</w:t>
      </w:r>
    </w:p>
    <w:p w14:paraId="0E3DB0B9" w14:textId="2AF12677" w:rsidR="0075677B" w:rsidRDefault="0075677B" w:rsidP="0075677B">
      <w:pPr>
        <w:pStyle w:val="ListParagraph"/>
        <w:numPr>
          <w:ilvl w:val="1"/>
          <w:numId w:val="5"/>
        </w:numPr>
        <w:spacing w:before="0" w:after="0" w:line="240" w:lineRule="auto"/>
      </w:pPr>
      <w:r w:rsidRPr="0075677B">
        <w:t>Were siblings placed together in out-of-home care?</w:t>
      </w:r>
    </w:p>
    <w:p w14:paraId="67141ADE" w14:textId="02BA8430" w:rsidR="0075677B" w:rsidRDefault="0075677B" w:rsidP="0075677B">
      <w:pPr>
        <w:spacing w:before="0" w:after="0" w:line="240" w:lineRule="auto"/>
        <w:rPr>
          <w:b/>
          <w:bCs/>
        </w:rPr>
      </w:pPr>
      <w:r>
        <w:rPr>
          <w:b/>
          <w:bCs/>
        </w:rPr>
        <w:t xml:space="preserve">Item 8: </w:t>
      </w:r>
      <w:r w:rsidRPr="0075677B">
        <w:rPr>
          <w:b/>
          <w:bCs/>
        </w:rPr>
        <w:t>Visiting with Parents and Siblings in Foster Care</w:t>
      </w:r>
    </w:p>
    <w:p w14:paraId="6E706457" w14:textId="76F47EFB" w:rsidR="0075677B" w:rsidRDefault="0075677B" w:rsidP="0075677B">
      <w:pPr>
        <w:pStyle w:val="ListParagraph"/>
        <w:numPr>
          <w:ilvl w:val="0"/>
          <w:numId w:val="6"/>
        </w:numPr>
        <w:spacing w:before="0" w:after="0" w:line="240" w:lineRule="auto"/>
      </w:pPr>
      <w:r>
        <w:t>On-going Services Questions:</w:t>
      </w:r>
    </w:p>
    <w:p w14:paraId="07C13A6D" w14:textId="005D6360"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mother was of sufficient quality to maintain or support the continuity of the relationship.</w:t>
      </w:r>
    </w:p>
    <w:p w14:paraId="6187972F" w14:textId="19B9F993"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father was of sufficient quality to maintain or support the continuity of the relationship.</w:t>
      </w:r>
    </w:p>
    <w:p w14:paraId="30243AF6" w14:textId="0EA82984" w:rsidR="0075677B" w:rsidRDefault="0075677B" w:rsidP="0075677B">
      <w:pPr>
        <w:pStyle w:val="ListParagraph"/>
        <w:numPr>
          <w:ilvl w:val="1"/>
          <w:numId w:val="6"/>
        </w:numPr>
        <w:spacing w:before="0" w:after="0" w:line="240" w:lineRule="auto"/>
      </w:pPr>
      <w:r w:rsidRPr="0075677B">
        <w:t>Concerted efforts were made to ensure that visitation (or other forms of contact if visitation not possible between the child in out of home care and his or her siblings (also in out of home care) was of sufficient quality to maintain or support the continuity of the relationship.</w:t>
      </w:r>
    </w:p>
    <w:p w14:paraId="0103B248" w14:textId="1621231A" w:rsidR="0075677B" w:rsidRDefault="0075677B" w:rsidP="0075677B">
      <w:pPr>
        <w:spacing w:before="0" w:after="0" w:line="240" w:lineRule="auto"/>
        <w:rPr>
          <w:b/>
          <w:bCs/>
        </w:rPr>
      </w:pPr>
      <w:r>
        <w:rPr>
          <w:b/>
          <w:bCs/>
        </w:rPr>
        <w:t>Item 9: Preserving Connections</w:t>
      </w:r>
    </w:p>
    <w:p w14:paraId="104C5FA9" w14:textId="281F805F" w:rsidR="0075677B" w:rsidRDefault="0075677B" w:rsidP="0075677B">
      <w:pPr>
        <w:pStyle w:val="ListParagraph"/>
        <w:numPr>
          <w:ilvl w:val="0"/>
          <w:numId w:val="6"/>
        </w:numPr>
        <w:spacing w:before="0" w:after="0" w:line="240" w:lineRule="auto"/>
      </w:pPr>
      <w:r>
        <w:t>On-Going Services Questions:</w:t>
      </w:r>
    </w:p>
    <w:p w14:paraId="3754BBB4" w14:textId="644D55C5" w:rsidR="0075677B" w:rsidRDefault="0075677B" w:rsidP="0075677B">
      <w:pPr>
        <w:pStyle w:val="ListParagraph"/>
        <w:numPr>
          <w:ilvl w:val="1"/>
          <w:numId w:val="6"/>
        </w:numPr>
        <w:spacing w:before="0" w:after="0" w:line="240" w:lineRule="auto"/>
      </w:pPr>
      <w:r w:rsidRPr="0075677B">
        <w:lastRenderedPageBreak/>
        <w:t>Concerted efforts were made to maintain the children's connections to his or her neighborhood, community, faith, extended family including siblings not in out of home care, Tribe, school, and friends (If no, check all that apply were missed)</w:t>
      </w:r>
    </w:p>
    <w:p w14:paraId="5B8C7AED" w14:textId="6D7112FE" w:rsidR="0075677B" w:rsidRDefault="0075677B" w:rsidP="0075677B">
      <w:pPr>
        <w:spacing w:before="0" w:after="0" w:line="240" w:lineRule="auto"/>
        <w:rPr>
          <w:b/>
          <w:bCs/>
        </w:rPr>
      </w:pPr>
      <w:r>
        <w:rPr>
          <w:b/>
          <w:bCs/>
        </w:rPr>
        <w:t>Item 10: Relative Placement</w:t>
      </w:r>
    </w:p>
    <w:p w14:paraId="25F29336" w14:textId="78779D32" w:rsidR="0075677B" w:rsidRDefault="0075677B" w:rsidP="0075677B">
      <w:pPr>
        <w:pStyle w:val="ListParagraph"/>
        <w:numPr>
          <w:ilvl w:val="0"/>
          <w:numId w:val="6"/>
        </w:numPr>
        <w:spacing w:before="0" w:after="0" w:line="240" w:lineRule="auto"/>
      </w:pPr>
      <w:r>
        <w:t>Investigations Questions:</w:t>
      </w:r>
    </w:p>
    <w:p w14:paraId="1FD68280" w14:textId="05E04809" w:rsidR="0075677B" w:rsidRDefault="0075677B" w:rsidP="0075677B">
      <w:pPr>
        <w:pStyle w:val="ListParagraph"/>
        <w:numPr>
          <w:ilvl w:val="1"/>
          <w:numId w:val="6"/>
        </w:numPr>
        <w:spacing w:before="0" w:after="0" w:line="240" w:lineRule="auto"/>
      </w:pPr>
      <w:r w:rsidRPr="0075677B">
        <w:t>In the case of a removal, the CPI made concerted efforts to place children with relatives.</w:t>
      </w:r>
    </w:p>
    <w:p w14:paraId="317195DD" w14:textId="2382C924" w:rsidR="0075677B" w:rsidRDefault="0075677B" w:rsidP="0075677B">
      <w:pPr>
        <w:pStyle w:val="ListParagraph"/>
        <w:numPr>
          <w:ilvl w:val="0"/>
          <w:numId w:val="6"/>
        </w:numPr>
        <w:spacing w:before="0" w:after="0" w:line="240" w:lineRule="auto"/>
      </w:pPr>
      <w:r>
        <w:t>On-Going Services Questions:</w:t>
      </w:r>
    </w:p>
    <w:p w14:paraId="6B6B2A84" w14:textId="08382251" w:rsidR="0075677B" w:rsidRDefault="0075677B" w:rsidP="0075677B">
      <w:pPr>
        <w:pStyle w:val="ListParagraph"/>
        <w:numPr>
          <w:ilvl w:val="1"/>
          <w:numId w:val="6"/>
        </w:numPr>
        <w:spacing w:before="0" w:after="0" w:line="240" w:lineRule="auto"/>
      </w:pPr>
      <w:r w:rsidRPr="0075677B">
        <w:t>The Child Welfare Professional made concerted efforts to identify, locate, inform, and evaluate relatives as potential placements for the child until ruled out as placement resources due to unwillingness or child's bests interest.</w:t>
      </w:r>
    </w:p>
    <w:p w14:paraId="0E26207C" w14:textId="3AD4DA8E" w:rsidR="0075677B" w:rsidRDefault="0075677B" w:rsidP="0075677B">
      <w:pPr>
        <w:spacing w:before="0" w:after="0" w:line="240" w:lineRule="auto"/>
        <w:rPr>
          <w:b/>
          <w:bCs/>
        </w:rPr>
      </w:pPr>
      <w:r>
        <w:rPr>
          <w:b/>
          <w:bCs/>
        </w:rPr>
        <w:t>Item 11: Relationship of Child in Care with Parents</w:t>
      </w:r>
    </w:p>
    <w:p w14:paraId="12D1505B" w14:textId="581A3E4D" w:rsidR="00C26000" w:rsidRDefault="00C26000" w:rsidP="00C26000">
      <w:pPr>
        <w:pStyle w:val="ListParagraph"/>
        <w:numPr>
          <w:ilvl w:val="0"/>
          <w:numId w:val="7"/>
        </w:numPr>
        <w:spacing w:before="0" w:after="0" w:line="240" w:lineRule="auto"/>
      </w:pPr>
      <w:r>
        <w:t>On-Going Services Questions:</w:t>
      </w:r>
    </w:p>
    <w:p w14:paraId="01D4F9DA" w14:textId="6C8934DF" w:rsidR="00C26000" w:rsidRDefault="00C26000" w:rsidP="00C26000">
      <w:pPr>
        <w:pStyle w:val="ListParagraph"/>
        <w:numPr>
          <w:ilvl w:val="1"/>
          <w:numId w:val="7"/>
        </w:numPr>
        <w:spacing w:before="0" w:after="0" w:line="240" w:lineRule="auto"/>
      </w:pPr>
      <w:r w:rsidRPr="00C26000">
        <w:t>Concerted Efforts were made to promote, support, and otherwise maintain a positive and nurturing relationship between the child in out of home care and his or her mother.</w:t>
      </w:r>
    </w:p>
    <w:p w14:paraId="6A7A14FA" w14:textId="66BE38BC" w:rsidR="00C26000" w:rsidRPr="00C26000" w:rsidRDefault="00C26000" w:rsidP="00C26000">
      <w:pPr>
        <w:pStyle w:val="ListParagraph"/>
        <w:numPr>
          <w:ilvl w:val="1"/>
          <w:numId w:val="7"/>
        </w:numPr>
        <w:spacing w:before="0" w:after="0" w:line="240" w:lineRule="auto"/>
      </w:pPr>
      <w:r w:rsidRPr="00C26000">
        <w:t>Concerted efforts were made to promote, support, and otherwise maintain a positive and nurturing relationship between the child in out of home care and his or her father.</w:t>
      </w:r>
    </w:p>
    <w:p w14:paraId="5EE6EDE8" w14:textId="77777777" w:rsidR="001868AC" w:rsidRDefault="001868AC" w:rsidP="001868AC">
      <w:pPr>
        <w:spacing w:line="23" w:lineRule="atLeast"/>
        <w:rPr>
          <w:b/>
          <w:bCs/>
        </w:rPr>
      </w:pPr>
      <w:r>
        <w:rPr>
          <w:b/>
          <w:bCs/>
        </w:rPr>
        <w:t>Calculation:</w:t>
      </w:r>
    </w:p>
    <w:p w14:paraId="5C41CF52" w14:textId="54FF56DF" w:rsidR="001868AC" w:rsidRPr="00500C44" w:rsidRDefault="00000000" w:rsidP="001868AC">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4-11</m:t>
              </m:r>
              <m:r>
                <m:rPr>
                  <m:sty m:val="bi"/>
                </m:rPr>
                <w:rPr>
                  <w:rStyle w:val="FootnoteReference"/>
                  <w:rFonts w:ascii="Cambria Math" w:hAnsi="Cambria Math"/>
                  <w:b/>
                  <w:i/>
                </w:rPr>
                <w:footnoteReference w:id="3"/>
              </m:r>
            </m:num>
            <m:den>
              <m:r>
                <m:rPr>
                  <m:sty m:val="bi"/>
                </m:rPr>
                <w:rPr>
                  <w:rFonts w:ascii="Cambria Math" w:hAnsi="Cambria Math"/>
                </w:rPr>
                <m:t>The total number of responses to questions related to Items 4-11</m:t>
              </m:r>
            </m:den>
          </m:f>
        </m:oMath>
      </m:oMathPara>
    </w:p>
    <w:p w14:paraId="63BB6829" w14:textId="77777777" w:rsidR="001868AC" w:rsidRDefault="001868AC" w:rsidP="001868AC">
      <w:pPr>
        <w:spacing w:line="23" w:lineRule="atLeast"/>
      </w:pPr>
      <w:r>
        <w:rPr>
          <w:b/>
          <w:bCs/>
        </w:rPr>
        <w:t>Standard</w:t>
      </w:r>
      <w:r w:rsidRPr="009A2E54">
        <w:rPr>
          <w:b/>
          <w:bCs/>
        </w:rPr>
        <w:t>:</w:t>
      </w:r>
      <w:r>
        <w:t xml:space="preserve">  90%, based on national standards</w:t>
      </w:r>
    </w:p>
    <w:p w14:paraId="406DA0BC" w14:textId="77777777" w:rsidR="001868AC" w:rsidRPr="001868AC" w:rsidRDefault="001868AC" w:rsidP="001868AC"/>
    <w:p w14:paraId="1A50C8C2" w14:textId="35AB633C" w:rsidR="00912940" w:rsidRDefault="00912940" w:rsidP="00912940">
      <w:r>
        <w:br w:type="page"/>
      </w:r>
    </w:p>
    <w:p w14:paraId="2200B132" w14:textId="77777777" w:rsidR="0025625E" w:rsidRDefault="0025625E" w:rsidP="00443C6B">
      <w:pPr>
        <w:spacing w:before="0" w:after="160" w:line="23" w:lineRule="atLeast"/>
        <w:rPr>
          <w:sz w:val="48"/>
          <w:szCs w:val="48"/>
        </w:rPr>
      </w:pPr>
    </w:p>
    <w:p w14:paraId="283281A9" w14:textId="77777777" w:rsidR="0025625E" w:rsidRDefault="0025625E" w:rsidP="00443C6B">
      <w:pPr>
        <w:spacing w:before="0" w:after="160" w:line="23" w:lineRule="atLeast"/>
        <w:jc w:val="center"/>
        <w:rPr>
          <w:sz w:val="48"/>
          <w:szCs w:val="48"/>
        </w:rPr>
      </w:pPr>
      <w:r>
        <w:rPr>
          <w:sz w:val="48"/>
          <w:szCs w:val="48"/>
        </w:rPr>
        <w:t>Florida Department of Children and Families</w:t>
      </w:r>
    </w:p>
    <w:p w14:paraId="34A4F94D" w14:textId="77777777" w:rsidR="0025625E" w:rsidRDefault="0025625E" w:rsidP="00443C6B">
      <w:pPr>
        <w:spacing w:before="0" w:after="160" w:line="23" w:lineRule="atLeast"/>
        <w:jc w:val="center"/>
        <w:rPr>
          <w:sz w:val="48"/>
          <w:szCs w:val="48"/>
        </w:rPr>
      </w:pPr>
      <w:r>
        <w:rPr>
          <w:sz w:val="48"/>
          <w:szCs w:val="48"/>
        </w:rPr>
        <w:t>Enterprise Metrics Guidebook:</w:t>
      </w:r>
    </w:p>
    <w:p w14:paraId="37FCCEB2" w14:textId="6704F241" w:rsidR="0025625E" w:rsidRPr="003D5627" w:rsidRDefault="00C62EB7" w:rsidP="003D5627">
      <w:pPr>
        <w:pStyle w:val="Heading1"/>
        <w:jc w:val="center"/>
        <w:rPr>
          <w:sz w:val="48"/>
          <w:szCs w:val="48"/>
        </w:rPr>
      </w:pPr>
      <w:bookmarkStart w:id="34" w:name="_Toc81913959"/>
      <w:bookmarkStart w:id="35" w:name="_Toc127779923"/>
      <w:r>
        <w:rPr>
          <w:sz w:val="48"/>
          <w:szCs w:val="48"/>
        </w:rPr>
        <w:t>Well-Being Metrics</w:t>
      </w:r>
      <w:bookmarkEnd w:id="34"/>
      <w:bookmarkEnd w:id="35"/>
    </w:p>
    <w:p w14:paraId="789266B1" w14:textId="77777777" w:rsidR="0025625E" w:rsidRPr="00D22413" w:rsidRDefault="0025625E" w:rsidP="00443C6B">
      <w:pPr>
        <w:spacing w:line="23" w:lineRule="atLeast"/>
        <w:rPr>
          <w:sz w:val="48"/>
          <w:szCs w:val="48"/>
        </w:rPr>
      </w:pPr>
    </w:p>
    <w:p w14:paraId="237A80F3" w14:textId="77777777" w:rsidR="0025625E" w:rsidRPr="00D22413" w:rsidRDefault="0025625E" w:rsidP="00443C6B">
      <w:pPr>
        <w:spacing w:line="23" w:lineRule="atLeast"/>
        <w:rPr>
          <w:sz w:val="48"/>
          <w:szCs w:val="48"/>
        </w:rPr>
      </w:pPr>
    </w:p>
    <w:p w14:paraId="2DB1AC71" w14:textId="77777777" w:rsidR="0025625E" w:rsidRPr="00D22413" w:rsidRDefault="0025625E" w:rsidP="00443C6B">
      <w:pPr>
        <w:spacing w:line="23" w:lineRule="atLeast"/>
        <w:rPr>
          <w:sz w:val="48"/>
          <w:szCs w:val="48"/>
        </w:rPr>
      </w:pPr>
    </w:p>
    <w:p w14:paraId="14312D71" w14:textId="77777777" w:rsidR="0025625E" w:rsidRPr="00D22413" w:rsidRDefault="0025625E" w:rsidP="00443C6B">
      <w:pPr>
        <w:spacing w:line="23" w:lineRule="atLeast"/>
        <w:rPr>
          <w:sz w:val="48"/>
          <w:szCs w:val="48"/>
        </w:rPr>
      </w:pPr>
    </w:p>
    <w:p w14:paraId="3DA8F8FB" w14:textId="77777777" w:rsidR="0025625E" w:rsidRPr="00D22413" w:rsidRDefault="0025625E" w:rsidP="00443C6B">
      <w:pPr>
        <w:spacing w:line="23" w:lineRule="atLeast"/>
        <w:rPr>
          <w:sz w:val="48"/>
          <w:szCs w:val="48"/>
        </w:rPr>
      </w:pPr>
    </w:p>
    <w:p w14:paraId="1664801D" w14:textId="77777777" w:rsidR="0025625E" w:rsidRPr="00D22413" w:rsidRDefault="0025625E" w:rsidP="00443C6B">
      <w:pPr>
        <w:spacing w:line="23" w:lineRule="atLeast"/>
        <w:rPr>
          <w:sz w:val="48"/>
          <w:szCs w:val="48"/>
        </w:rPr>
      </w:pPr>
    </w:p>
    <w:p w14:paraId="2893A497" w14:textId="77777777" w:rsidR="0025625E" w:rsidRPr="00D22413" w:rsidRDefault="0025625E" w:rsidP="00443C6B">
      <w:pPr>
        <w:spacing w:line="23" w:lineRule="atLeast"/>
        <w:rPr>
          <w:sz w:val="48"/>
          <w:szCs w:val="48"/>
        </w:rPr>
      </w:pPr>
    </w:p>
    <w:p w14:paraId="431DF658" w14:textId="77777777" w:rsidR="0025625E" w:rsidRDefault="0025625E" w:rsidP="00443C6B">
      <w:pPr>
        <w:pStyle w:val="Header"/>
        <w:tabs>
          <w:tab w:val="left" w:pos="2430"/>
        </w:tabs>
        <w:spacing w:line="23" w:lineRule="atLeast"/>
        <w:jc w:val="right"/>
        <w:rPr>
          <w:sz w:val="18"/>
          <w:szCs w:val="18"/>
        </w:rPr>
      </w:pPr>
    </w:p>
    <w:p w14:paraId="6F805E5D" w14:textId="77777777" w:rsidR="0025625E" w:rsidRDefault="0025625E" w:rsidP="00443C6B">
      <w:pPr>
        <w:pStyle w:val="Header"/>
        <w:tabs>
          <w:tab w:val="left" w:pos="2430"/>
        </w:tabs>
        <w:spacing w:line="23" w:lineRule="atLeast"/>
        <w:jc w:val="right"/>
        <w:rPr>
          <w:sz w:val="18"/>
          <w:szCs w:val="18"/>
        </w:rPr>
      </w:pPr>
    </w:p>
    <w:p w14:paraId="2AB1122B" w14:textId="77777777" w:rsidR="0025625E" w:rsidRDefault="0025625E" w:rsidP="00443C6B">
      <w:pPr>
        <w:pStyle w:val="Header"/>
        <w:tabs>
          <w:tab w:val="left" w:pos="2430"/>
        </w:tabs>
        <w:spacing w:line="23" w:lineRule="atLeast"/>
        <w:jc w:val="right"/>
        <w:rPr>
          <w:sz w:val="18"/>
          <w:szCs w:val="18"/>
        </w:rPr>
      </w:pPr>
    </w:p>
    <w:p w14:paraId="58235733" w14:textId="346AD819" w:rsidR="0025625E" w:rsidRPr="001C0779" w:rsidRDefault="0025625E" w:rsidP="001C0779">
      <w:pPr>
        <w:pStyle w:val="Header"/>
        <w:tabs>
          <w:tab w:val="left" w:pos="2430"/>
        </w:tabs>
        <w:spacing w:line="23" w:lineRule="atLeast"/>
        <w:jc w:val="right"/>
        <w:rPr>
          <w:b/>
          <w:sz w:val="24"/>
          <w:szCs w:val="24"/>
        </w:rPr>
        <w:sectPr w:rsidR="0025625E" w:rsidRPr="001C0779" w:rsidSect="00443C6B">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r>
        <w:rPr>
          <w:b/>
          <w:sz w:val="24"/>
          <w:szCs w:val="24"/>
        </w:rPr>
        <w:t>Data Analytics and Research Uni</w:t>
      </w:r>
      <w:r w:rsidRPr="00D22413">
        <w:rPr>
          <w:b/>
          <w:sz w:val="24"/>
          <w:szCs w:val="24"/>
        </w:rPr>
        <w:t>t</w:t>
      </w:r>
    </w:p>
    <w:p w14:paraId="5EF0C27E" w14:textId="5A2E11B9" w:rsidR="00976808" w:rsidRDefault="00976808">
      <w:pPr>
        <w:rPr>
          <w:rFonts w:eastAsiaTheme="majorEastAsia" w:cs="Arial"/>
          <w:b/>
          <w:bCs/>
          <w:sz w:val="28"/>
          <w:szCs w:val="28"/>
        </w:rPr>
      </w:pPr>
      <w:bookmarkStart w:id="36" w:name="_Toc50665895"/>
    </w:p>
    <w:p w14:paraId="2E06CC2A" w14:textId="77777777" w:rsidR="00224FE0" w:rsidRPr="004C36A9" w:rsidRDefault="00224FE0" w:rsidP="00224FE0">
      <w:pPr>
        <w:pStyle w:val="Heading1"/>
        <w:spacing w:line="23" w:lineRule="atLeast"/>
        <w:rPr>
          <w:b w:val="0"/>
          <w:bCs w:val="0"/>
        </w:rPr>
      </w:pPr>
      <w:bookmarkStart w:id="37" w:name="_Toc50665896"/>
      <w:bookmarkStart w:id="38" w:name="_Toc81913962"/>
      <w:bookmarkStart w:id="39" w:name="_Toc127779924"/>
      <w:r w:rsidRPr="00C007DE">
        <w:t>Percentage of Children</w:t>
      </w:r>
      <w:r w:rsidRPr="004C36A9">
        <w:t xml:space="preserve"> Seen Every 30 Days</w:t>
      </w:r>
      <w:bookmarkEnd w:id="37"/>
      <w:bookmarkEnd w:id="38"/>
      <w:bookmarkEnd w:id="39"/>
    </w:p>
    <w:p w14:paraId="55D321ED" w14:textId="77777777" w:rsidR="00224FE0" w:rsidRDefault="00224FE0" w:rsidP="00224FE0">
      <w:pPr>
        <w:spacing w:line="23" w:lineRule="atLeast"/>
        <w:rPr>
          <w:i/>
          <w:iCs/>
        </w:rPr>
      </w:pPr>
      <w:r w:rsidRPr="001A11DA">
        <w:rPr>
          <w:b/>
          <w:bCs/>
        </w:rPr>
        <w:t>Ownership</w:t>
      </w:r>
      <w:r>
        <w:rPr>
          <w:b/>
          <w:bCs/>
        </w:rPr>
        <w:t xml:space="preserve">:  </w:t>
      </w:r>
      <w:r>
        <w:t xml:space="preserve">The case management program is responsible for conducting visits with children every 30 days. </w:t>
      </w:r>
    </w:p>
    <w:p w14:paraId="1FC9638E" w14:textId="77777777" w:rsidR="00224FE0" w:rsidRDefault="00224FE0" w:rsidP="00224FE0">
      <w:pPr>
        <w:spacing w:line="23" w:lineRule="atLeast"/>
      </w:pPr>
      <w:r w:rsidRPr="009A2E54">
        <w:rPr>
          <w:b/>
          <w:bCs/>
        </w:rPr>
        <w:t>Description:</w:t>
      </w:r>
      <w:r>
        <w:t xml:space="preserve"> </w:t>
      </w:r>
      <w:r w:rsidRPr="004A4273">
        <w:t xml:space="preserve"> </w:t>
      </w:r>
      <w:r>
        <w:t xml:space="preserve">This is the percentage of children transferred to case management who are seen at intervals no longer than 30 days.  Florida Statute (39.301(11)) requires the monitoring of the quality and timeliness of engagements with the child. CFOP 170-9, Chapter 6, and CFOP 170-6, Chapters 11-12 state that the case manager will make face-to-face contact to monitor the child's needs and ensure that the family is making progress. Florida Statute (39.6011(5)(c)) requires case managers to develop a plan for face-to-face meetings to be held each month with the child to review the progress of the (case) plan, to eliminate barriers to progress, and to resolve conflicts or disagreements. This measure is also supported by Florida Statute (409.988(1)(i)), which requires all lead agencies to comply with federal and state statutory requirement and agency rules, including frequency of visits with case managed children. </w:t>
      </w:r>
    </w:p>
    <w:p w14:paraId="0BFD0BFE" w14:textId="77777777" w:rsidR="00224FE0" w:rsidRDefault="00224FE0" w:rsidP="00224FE0">
      <w:pPr>
        <w:spacing w:line="23" w:lineRule="atLeast"/>
      </w:pPr>
      <w:r>
        <w:rPr>
          <w:b/>
          <w:bCs/>
        </w:rPr>
        <w:t>Related Measure</w:t>
      </w:r>
      <w:r>
        <w:t xml:space="preserve">: </w:t>
      </w:r>
      <w:r w:rsidRPr="0060345D">
        <w:t>This measure is a quantitative measure</w:t>
      </w:r>
      <w:r>
        <w:t xml:space="preserve"> of data pulled directly from the FSFN database. A related qualitative measure is based on the Life of Case review tool, percentage of quality caseworker visits with the child. Both measures are identified as accountability metrics to meet the intent of </w:t>
      </w:r>
      <w:r w:rsidRPr="0060345D">
        <w:t>Florida Statute 39.301(11).</w:t>
      </w:r>
      <w:r>
        <w:t xml:space="preserve"> </w:t>
      </w:r>
    </w:p>
    <w:p w14:paraId="05C1B4BE" w14:textId="77777777" w:rsidR="00224FE0" w:rsidRDefault="00224FE0" w:rsidP="00224FE0">
      <w:pPr>
        <w:spacing w:line="23" w:lineRule="atLeast"/>
      </w:pPr>
      <w:r w:rsidRPr="009A2E54">
        <w:rPr>
          <w:b/>
          <w:bCs/>
        </w:rPr>
        <w:t>Research Base:</w:t>
      </w:r>
      <w:r>
        <w:t xml:space="preserve">  Frequent contact is supported by The Casey Foundation, which states that f</w:t>
      </w:r>
      <w:r w:rsidRPr="004A4273">
        <w:t>ace-to-face visits are critical to effective casework</w:t>
      </w:r>
      <w:r>
        <w:t xml:space="preserve"> (Casey, 2015).The Casey Foundation notes that o</w:t>
      </w:r>
      <w:r w:rsidRPr="00A3764D">
        <w:t>utcomes for children and families improve when staff both work directly with children and families and perform the case management tasks of arranging, referring and monitoring tasks of case management</w:t>
      </w:r>
      <w:r>
        <w:t>, using their judgement in increasing frequency and determining the types of services needed. Additionally, effective relationships between the case worker and the child were a key factor in successful reunifications (Jedwab, et al., 2018).</w:t>
      </w:r>
    </w:p>
    <w:p w14:paraId="733F899A" w14:textId="06CFA1F4" w:rsidR="00224FE0" w:rsidRPr="009A2E54" w:rsidRDefault="008B1DC0" w:rsidP="00224FE0">
      <w:pPr>
        <w:spacing w:line="23" w:lineRule="atLeast"/>
      </w:pPr>
      <w:r>
        <w:rPr>
          <w:b/>
          <w:bCs/>
        </w:rPr>
        <w:t xml:space="preserve">Report </w:t>
      </w:r>
      <w:r w:rsidR="00224FE0">
        <w:rPr>
          <w:b/>
          <w:bCs/>
        </w:rPr>
        <w:t>Period</w:t>
      </w:r>
      <w:r w:rsidR="00224FE0" w:rsidRPr="009A2E54">
        <w:rPr>
          <w:b/>
          <w:bCs/>
        </w:rPr>
        <w:t xml:space="preserve">: </w:t>
      </w:r>
      <w:r w:rsidR="00224FE0" w:rsidRPr="009A2E54">
        <w:t xml:space="preserve"> </w:t>
      </w:r>
      <w:bookmarkStart w:id="40" w:name="_Hlk50716222"/>
      <w:r w:rsidR="00224FE0">
        <w:t xml:space="preserve">Each month of the quarter pulled individually and the values totaled to calculate the quarter  </w:t>
      </w:r>
    </w:p>
    <w:bookmarkEnd w:id="40"/>
    <w:p w14:paraId="678EDC11" w14:textId="77777777" w:rsidR="00224FE0" w:rsidRPr="00BF3656" w:rsidRDefault="00224FE0" w:rsidP="00224FE0">
      <w:pPr>
        <w:spacing w:line="23" w:lineRule="atLeast"/>
      </w:pPr>
      <w:r>
        <w:rPr>
          <w:b/>
          <w:bCs/>
        </w:rPr>
        <w:t xml:space="preserve">Source: </w:t>
      </w:r>
      <w:r>
        <w:t>FSFN Report #1144</w:t>
      </w:r>
    </w:p>
    <w:p w14:paraId="6E9D7395" w14:textId="77777777" w:rsidR="00224FE0" w:rsidRDefault="00224FE0" w:rsidP="00224FE0">
      <w:pPr>
        <w:spacing w:line="23" w:lineRule="atLeast"/>
        <w:rPr>
          <w:b/>
          <w:bCs/>
        </w:rPr>
      </w:pPr>
      <w:r>
        <w:rPr>
          <w:b/>
          <w:bCs/>
        </w:rPr>
        <w:t>Calculation:</w:t>
      </w:r>
    </w:p>
    <w:p w14:paraId="2967FB30" w14:textId="77777777" w:rsidR="00224FE0" w:rsidRDefault="00000000" w:rsidP="00224FE0">
      <w:pPr>
        <w:spacing w:line="23" w:lineRule="atLeast"/>
        <w:rPr>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total number of days that had been seen </m:t>
                  </m:r>
                </m:e>
                <m:e>
                  <m:r>
                    <m:rPr>
                      <m:sty m:val="bi"/>
                    </m:rPr>
                    <w:rPr>
                      <w:rFonts w:ascii="Cambria Math" w:hAnsi="Cambria Math"/>
                    </w:rPr>
                    <m:t>in the thirty days immediately prior</m:t>
                  </m:r>
                </m:e>
              </m:eqArr>
            </m:num>
            <m:den>
              <m:eqArr>
                <m:eqArrPr>
                  <m:ctrlPr>
                    <w:rPr>
                      <w:rFonts w:ascii="Cambria Math" w:hAnsi="Cambria Math"/>
                      <w:b/>
                      <w:i/>
                    </w:rPr>
                  </m:ctrlPr>
                </m:eqArrPr>
                <m:e>
                  <m:r>
                    <m:rPr>
                      <m:sty m:val="bi"/>
                    </m:rPr>
                    <w:rPr>
                      <w:rFonts w:ascii="Cambria Math" w:hAnsi="Cambria Math"/>
                    </w:rPr>
                    <m:t>The total number of days that children</m:t>
                  </m:r>
                </m:e>
                <m:e>
                  <m:r>
                    <m:rPr>
                      <m:sty m:val="bi"/>
                    </m:rPr>
                    <w:rPr>
                      <w:rFonts w:ascii="Cambria Math" w:hAnsi="Cambria Math"/>
                    </w:rPr>
                    <m:t>were in OHC or Receiving In-Home Services</m:t>
                  </m:r>
                </m:e>
              </m:eqArr>
            </m:den>
          </m:f>
        </m:oMath>
      </m:oMathPara>
    </w:p>
    <w:p w14:paraId="151C352F" w14:textId="0DB58326" w:rsidR="00224FE0" w:rsidRPr="00213A49" w:rsidRDefault="000842C2" w:rsidP="00224FE0">
      <w:pPr>
        <w:spacing w:line="23" w:lineRule="atLeast"/>
      </w:pPr>
      <w:r>
        <w:rPr>
          <w:b/>
          <w:bCs/>
        </w:rPr>
        <w:t>Standard</w:t>
      </w:r>
      <w:r w:rsidR="00224FE0" w:rsidRPr="009A2E54">
        <w:rPr>
          <w:b/>
          <w:bCs/>
        </w:rPr>
        <w:t>:</w:t>
      </w:r>
      <w:r w:rsidR="00224FE0">
        <w:t xml:space="preserve">  99.5%</w:t>
      </w:r>
    </w:p>
    <w:p w14:paraId="18ACF934" w14:textId="77777777" w:rsidR="001C0779" w:rsidRDefault="001C0779">
      <w:pPr>
        <w:rPr>
          <w:rFonts w:eastAsiaTheme="majorEastAsia" w:cs="Arial"/>
          <w:b/>
          <w:bCs/>
          <w:sz w:val="28"/>
          <w:szCs w:val="28"/>
        </w:rPr>
      </w:pPr>
      <w:r>
        <w:br w:type="page"/>
      </w:r>
    </w:p>
    <w:p w14:paraId="344BF048" w14:textId="77777777" w:rsidR="001C0779" w:rsidRDefault="001C0779" w:rsidP="001C0779">
      <w:pPr>
        <w:pStyle w:val="Heading1"/>
      </w:pPr>
      <w:bookmarkStart w:id="41" w:name="_Toc127779925"/>
      <w:r>
        <w:lastRenderedPageBreak/>
        <w:t>Percent of Sibling Groups where All Children are Place Together</w:t>
      </w:r>
      <w:bookmarkEnd w:id="41"/>
    </w:p>
    <w:p w14:paraId="238358D5" w14:textId="69F5988F" w:rsidR="00912940" w:rsidRDefault="00912940" w:rsidP="007465E3">
      <w:r w:rsidRPr="009A2E54">
        <w:rPr>
          <w:b/>
          <w:bCs/>
        </w:rPr>
        <w:t>Description:</w:t>
      </w:r>
      <w:r>
        <w:t xml:space="preserve"> </w:t>
      </w:r>
      <w:r w:rsidRPr="004A4273">
        <w:t xml:space="preserve"> </w:t>
      </w:r>
      <w:r>
        <w:t>This metric is the percent of sibling groups with two or more children in out-of-home care as of the end of the report period where all siblings are placed together.</w:t>
      </w:r>
      <w:r w:rsidR="007465E3">
        <w:t xml:space="preserve"> Florida Statute (</w:t>
      </w:r>
      <w:r w:rsidR="007465E3" w:rsidRPr="00BD60C2">
        <w:t>39.</w:t>
      </w:r>
      <w:r w:rsidR="007465E3">
        <w:t>402(6)) states that a core principle of prevention and intervention is that every possible effort to place siblings in the same home and in the event of permanent placement of siblings, to place them in the same adoptive home.</w:t>
      </w:r>
    </w:p>
    <w:p w14:paraId="1C9019FE" w14:textId="4EB70D1D" w:rsidR="00912940" w:rsidRDefault="00912940" w:rsidP="00912940">
      <w:pPr>
        <w:spacing w:line="23" w:lineRule="atLeast"/>
      </w:pPr>
      <w:r w:rsidRPr="009A2E54">
        <w:rPr>
          <w:b/>
          <w:bCs/>
        </w:rPr>
        <w:t>Research Base:</w:t>
      </w:r>
      <w:r>
        <w:t xml:space="preserve">  Social research has identified that the sibling bond is among the strongest in abuse relationships, and that the bond typically grows due to the shared experience.  Although exceptions exist, in the majority of joint-placement cases, research has found that the relationships are positive, giving children role models and helping provide older siblings with a sense of responsibility.  In contrast, removal has been associated with issues related to trust and feelings of consistency in a child’s life.</w:t>
      </w:r>
    </w:p>
    <w:p w14:paraId="5F41D7B3" w14:textId="0A6729DD" w:rsidR="00912940" w:rsidRPr="009A2E54" w:rsidRDefault="00912940" w:rsidP="00912940">
      <w:pPr>
        <w:spacing w:line="23" w:lineRule="atLeast"/>
      </w:pPr>
      <w:r>
        <w:rPr>
          <w:b/>
          <w:bCs/>
        </w:rPr>
        <w:t>Report Period</w:t>
      </w:r>
      <w:r w:rsidRPr="009A2E54">
        <w:rPr>
          <w:b/>
          <w:bCs/>
        </w:rPr>
        <w:t xml:space="preserve">: </w:t>
      </w:r>
      <w:r w:rsidRPr="009A2E54">
        <w:t xml:space="preserve"> </w:t>
      </w:r>
      <w:r>
        <w:t xml:space="preserve">The last day of the report month  </w:t>
      </w:r>
    </w:p>
    <w:p w14:paraId="7BFCDCBB" w14:textId="4E1F4478" w:rsidR="00912940" w:rsidRPr="00BF3656" w:rsidRDefault="00912940" w:rsidP="00912940">
      <w:pPr>
        <w:spacing w:line="23" w:lineRule="atLeast"/>
      </w:pPr>
      <w:r>
        <w:rPr>
          <w:b/>
          <w:bCs/>
        </w:rPr>
        <w:t xml:space="preserve">Source: </w:t>
      </w:r>
      <w:r>
        <w:t>FSFN Report #1166</w:t>
      </w:r>
    </w:p>
    <w:p w14:paraId="2EACED44" w14:textId="77777777" w:rsidR="00912940" w:rsidRDefault="00912940" w:rsidP="00912940">
      <w:pPr>
        <w:spacing w:line="23" w:lineRule="atLeast"/>
        <w:rPr>
          <w:b/>
          <w:bCs/>
        </w:rPr>
      </w:pPr>
      <w:r>
        <w:rPr>
          <w:b/>
          <w:bCs/>
        </w:rPr>
        <w:t>Calculation:</w:t>
      </w:r>
    </w:p>
    <w:p w14:paraId="3B1722F1" w14:textId="2C8B7384" w:rsidR="00912940" w:rsidRDefault="00000000" w:rsidP="00912940">
      <w:pPr>
        <w:spacing w:line="23" w:lineRule="atLeast"/>
        <w:rPr>
          <w:b/>
          <w:bCs/>
        </w:rPr>
      </w:pPr>
      <m:oMathPara>
        <m:oMath>
          <m:f>
            <m:fPr>
              <m:ctrlPr>
                <w:rPr>
                  <w:rFonts w:ascii="Cambria Math" w:hAnsi="Cambria Math"/>
                  <w:b/>
                  <w:bCs/>
                  <w:i/>
                </w:rPr>
              </m:ctrlPr>
            </m:fPr>
            <m:num>
              <m:eqArr>
                <m:eqArrPr>
                  <m:ctrlPr>
                    <w:rPr>
                      <w:rFonts w:ascii="Cambria Math" w:hAnsi="Cambria Math"/>
                      <w:b/>
                      <w:i/>
                    </w:rPr>
                  </m:ctrlPr>
                </m:eqArrPr>
                <m:e>
                  <m:r>
                    <m:rPr>
                      <m:sty m:val="bi"/>
                    </m:rPr>
                    <w:rPr>
                      <w:rFonts w:ascii="Cambria Math" w:hAnsi="Cambria Math"/>
                    </w:rPr>
                    <m:t xml:space="preserve">The total number of days that had been seen </m:t>
                  </m:r>
                </m:e>
                <m:e>
                  <m:r>
                    <m:rPr>
                      <m:sty m:val="bi"/>
                    </m:rPr>
                    <w:rPr>
                      <w:rFonts w:ascii="Cambria Math" w:hAnsi="Cambria Math"/>
                    </w:rPr>
                    <m:t>in the thirty days immediately prior</m:t>
                  </m:r>
                </m:e>
              </m:eqArr>
            </m:num>
            <m:den>
              <m:eqArr>
                <m:eqArrPr>
                  <m:ctrlPr>
                    <w:rPr>
                      <w:rFonts w:ascii="Cambria Math" w:hAnsi="Cambria Math"/>
                      <w:b/>
                      <w:i/>
                    </w:rPr>
                  </m:ctrlPr>
                </m:eqArrPr>
                <m:e>
                  <m:r>
                    <m:rPr>
                      <m:sty m:val="bi"/>
                    </m:rPr>
                    <w:rPr>
                      <w:rFonts w:ascii="Cambria Math" w:hAnsi="Cambria Math"/>
                    </w:rPr>
                    <m:t>The total number of sibling groups with two of more children in out-of-home</m:t>
                  </m:r>
                </m:e>
                <m:e>
                  <m:r>
                    <m:rPr>
                      <m:sty m:val="bi"/>
                    </m:rPr>
                    <w:rPr>
                      <w:rFonts w:ascii="Cambria Math" w:hAnsi="Cambria Math"/>
                    </w:rPr>
                    <m:t>care as of the report period</m:t>
                  </m:r>
                </m:e>
              </m:eqArr>
            </m:den>
          </m:f>
        </m:oMath>
      </m:oMathPara>
    </w:p>
    <w:p w14:paraId="01A45E35" w14:textId="41E3159F" w:rsidR="00912940" w:rsidRPr="00213A49" w:rsidRDefault="00912940" w:rsidP="00912940">
      <w:pPr>
        <w:spacing w:line="23" w:lineRule="atLeast"/>
      </w:pPr>
      <w:r>
        <w:rPr>
          <w:b/>
          <w:bCs/>
        </w:rPr>
        <w:t>Standard</w:t>
      </w:r>
      <w:r w:rsidRPr="009A2E54">
        <w:rPr>
          <w:b/>
          <w:bCs/>
        </w:rPr>
        <w:t>:</w:t>
      </w:r>
      <w:r>
        <w:t xml:space="preserve">  65%</w:t>
      </w:r>
    </w:p>
    <w:p w14:paraId="20866074" w14:textId="77777777" w:rsidR="001C0779" w:rsidRDefault="001C0779">
      <w:pPr>
        <w:rPr>
          <w:rFonts w:eastAsiaTheme="majorEastAsia" w:cs="Arial"/>
          <w:b/>
          <w:bCs/>
          <w:sz w:val="28"/>
          <w:szCs w:val="28"/>
        </w:rPr>
      </w:pPr>
      <w:r>
        <w:br w:type="page"/>
      </w:r>
    </w:p>
    <w:p w14:paraId="3EB6336D" w14:textId="77777777" w:rsidR="00C26000" w:rsidRDefault="001C0779" w:rsidP="001C0779">
      <w:pPr>
        <w:pStyle w:val="Heading1"/>
      </w:pPr>
      <w:bookmarkStart w:id="42" w:name="_Toc127779926"/>
      <w:r w:rsidRPr="00840845">
        <w:lastRenderedPageBreak/>
        <w:t>Q</w:t>
      </w:r>
      <w:r>
        <w:t>ualitative Index for Well-Being</w:t>
      </w:r>
      <w:bookmarkEnd w:id="42"/>
    </w:p>
    <w:p w14:paraId="16CB7F59" w14:textId="5354D549" w:rsidR="00C26000" w:rsidRDefault="00C26000" w:rsidP="00C26000">
      <w:pPr>
        <w:spacing w:line="23" w:lineRule="atLeast"/>
      </w:pPr>
      <w:r w:rsidRPr="009A2E54">
        <w:rPr>
          <w:b/>
          <w:bCs/>
        </w:rPr>
        <w:t>Description:</w:t>
      </w:r>
      <w:r w:rsidRPr="00CC645B">
        <w:t xml:space="preserve"> </w:t>
      </w:r>
      <w:r>
        <w:t>This is the overall performance on well-being related items, items 12-18, on the Life of Case Investigations and Life of Case On-Going Services tools.</w:t>
      </w:r>
      <w:r w:rsidRPr="00083FAA">
        <w:t xml:space="preserve">  </w:t>
      </w:r>
    </w:p>
    <w:p w14:paraId="17E124B8" w14:textId="77777777" w:rsidR="00C26000" w:rsidRDefault="00C26000" w:rsidP="00C26000">
      <w:pPr>
        <w:spacing w:line="23" w:lineRule="atLeast"/>
      </w:pPr>
      <w:r>
        <w:rPr>
          <w:b/>
          <w:bCs/>
        </w:rPr>
        <w:t>Report Period</w:t>
      </w:r>
      <w:r w:rsidRPr="009A2E54">
        <w:rPr>
          <w:b/>
          <w:bCs/>
        </w:rPr>
        <w:t xml:space="preserve">: </w:t>
      </w:r>
      <w:r w:rsidRPr="009A2E54">
        <w:t xml:space="preserve"> </w:t>
      </w:r>
      <w:r>
        <w:t>The last day of the month at the end of the report month</w:t>
      </w:r>
    </w:p>
    <w:p w14:paraId="334A60D7" w14:textId="77777777" w:rsidR="00C26000" w:rsidRDefault="00C26000" w:rsidP="00C26000">
      <w:pPr>
        <w:spacing w:line="23" w:lineRule="atLeast"/>
      </w:pPr>
      <w:r>
        <w:rPr>
          <w:b/>
          <w:bCs/>
        </w:rPr>
        <w:t xml:space="preserve">Source: </w:t>
      </w:r>
      <w:r>
        <w:t xml:space="preserve">Life of Case Investigations and Life of Case On-Going Services Review Tool. </w:t>
      </w:r>
    </w:p>
    <w:p w14:paraId="4771E236" w14:textId="4CF40488" w:rsidR="00C26000" w:rsidRPr="002F13BE" w:rsidRDefault="00C26000" w:rsidP="00C26000">
      <w:pPr>
        <w:spacing w:before="0" w:after="0" w:line="240" w:lineRule="auto"/>
        <w:rPr>
          <w:b/>
          <w:bCs/>
        </w:rPr>
      </w:pPr>
      <w:r w:rsidRPr="002F13BE">
        <w:rPr>
          <w:b/>
          <w:bCs/>
        </w:rPr>
        <w:t xml:space="preserve">Item </w:t>
      </w:r>
      <w:r w:rsidR="00726339">
        <w:rPr>
          <w:b/>
          <w:bCs/>
        </w:rPr>
        <w:t>12</w:t>
      </w:r>
      <w:r w:rsidRPr="002F13BE">
        <w:rPr>
          <w:b/>
          <w:bCs/>
        </w:rPr>
        <w:t>:</w:t>
      </w:r>
      <w:r>
        <w:rPr>
          <w:b/>
          <w:bCs/>
        </w:rPr>
        <w:t xml:space="preserve"> </w:t>
      </w:r>
      <w:r w:rsidR="00726339" w:rsidRPr="00726339">
        <w:rPr>
          <w:b/>
          <w:bCs/>
        </w:rPr>
        <w:t>Needs and Services of Child, Parents, and Foster Parents</w:t>
      </w:r>
    </w:p>
    <w:p w14:paraId="72AC9E9C" w14:textId="1015CF92" w:rsidR="00726339" w:rsidRDefault="00726339" w:rsidP="00C26000">
      <w:pPr>
        <w:pStyle w:val="ListParagraph"/>
        <w:numPr>
          <w:ilvl w:val="0"/>
          <w:numId w:val="4"/>
        </w:numPr>
        <w:spacing w:before="0" w:after="0" w:line="240" w:lineRule="auto"/>
      </w:pPr>
      <w:r>
        <w:t>Investigations Questions:</w:t>
      </w:r>
    </w:p>
    <w:p w14:paraId="2FC8C8F1" w14:textId="2A936987" w:rsidR="00726339" w:rsidRDefault="00726339" w:rsidP="00726339">
      <w:pPr>
        <w:pStyle w:val="ListParagraph"/>
        <w:numPr>
          <w:ilvl w:val="1"/>
          <w:numId w:val="4"/>
        </w:numPr>
        <w:spacing w:before="0" w:after="0" w:line="240" w:lineRule="auto"/>
      </w:pPr>
      <w:r w:rsidRPr="00726339">
        <w:t>CPI attempted to connect the family to appropriate services if the child(ren) has been determined to be safe but high or very high risk.</w:t>
      </w:r>
    </w:p>
    <w:p w14:paraId="76FFFDBE" w14:textId="62054199" w:rsidR="00C26000" w:rsidRDefault="00C26000" w:rsidP="00C26000">
      <w:pPr>
        <w:pStyle w:val="ListParagraph"/>
        <w:numPr>
          <w:ilvl w:val="0"/>
          <w:numId w:val="4"/>
        </w:numPr>
        <w:spacing w:before="0" w:after="0" w:line="240" w:lineRule="auto"/>
      </w:pPr>
      <w:r>
        <w:t>On-Going Services Questions:</w:t>
      </w:r>
    </w:p>
    <w:p w14:paraId="3F819FFC" w14:textId="6592CB82" w:rsidR="00726339" w:rsidRDefault="00726339" w:rsidP="00726339">
      <w:pPr>
        <w:pStyle w:val="ListParagraph"/>
        <w:numPr>
          <w:ilvl w:val="1"/>
          <w:numId w:val="4"/>
        </w:numPr>
        <w:spacing w:before="0" w:after="0" w:line="240" w:lineRule="auto"/>
      </w:pPr>
      <w:r>
        <w:t>Q5.1:  The child welfare professional conducted or arranged for formal or informal assessments that accurately identified the children's needs.</w:t>
      </w:r>
    </w:p>
    <w:p w14:paraId="4B9632C9" w14:textId="0EAE4E79" w:rsidR="00726339" w:rsidRDefault="00726339" w:rsidP="00726339">
      <w:pPr>
        <w:pStyle w:val="ListParagraph"/>
        <w:numPr>
          <w:ilvl w:val="1"/>
          <w:numId w:val="4"/>
        </w:numPr>
        <w:spacing w:before="0" w:after="0" w:line="240" w:lineRule="auto"/>
      </w:pPr>
      <w:r w:rsidRPr="00726339">
        <w:t>Q5.9:  Appropriate Services were provided to meet any additional needs of the children</w:t>
      </w:r>
    </w:p>
    <w:p w14:paraId="50052D4E" w14:textId="5D1DA699" w:rsidR="00726339" w:rsidRDefault="00726339" w:rsidP="00726339">
      <w:pPr>
        <w:pStyle w:val="ListParagraph"/>
        <w:numPr>
          <w:ilvl w:val="1"/>
          <w:numId w:val="4"/>
        </w:numPr>
        <w:spacing w:before="0" w:after="0" w:line="240" w:lineRule="auto"/>
      </w:pPr>
      <w:r>
        <w:t>Q6.2:  The child welfare professional conducted or arranged for formal or informal assessments that accurately identified the mother's needs</w:t>
      </w:r>
    </w:p>
    <w:p w14:paraId="558D168B" w14:textId="4E2576E7" w:rsidR="00726339" w:rsidRDefault="00726339" w:rsidP="00726339">
      <w:pPr>
        <w:pStyle w:val="ListParagraph"/>
        <w:numPr>
          <w:ilvl w:val="1"/>
          <w:numId w:val="4"/>
        </w:numPr>
        <w:spacing w:before="0" w:after="0" w:line="240" w:lineRule="auto"/>
      </w:pPr>
      <w:r w:rsidRPr="00726339">
        <w:t>Q6.7:  The child welfare professional provided appropriate services to meet the identified needs of the mother</w:t>
      </w:r>
    </w:p>
    <w:p w14:paraId="3C3FF7FA" w14:textId="18095D94" w:rsidR="00726339" w:rsidRDefault="00726339" w:rsidP="00726339">
      <w:pPr>
        <w:pStyle w:val="ListParagraph"/>
        <w:numPr>
          <w:ilvl w:val="1"/>
          <w:numId w:val="4"/>
        </w:numPr>
        <w:spacing w:before="0" w:after="0" w:line="240" w:lineRule="auto"/>
      </w:pPr>
      <w:r>
        <w:t>Q7.2:  The child welfare professional conducted or arranged for formal or informal assessments that accurately identified the father's needs</w:t>
      </w:r>
    </w:p>
    <w:p w14:paraId="3A57AEBD" w14:textId="74F52CBB" w:rsidR="00726339" w:rsidRDefault="00726339" w:rsidP="00726339">
      <w:pPr>
        <w:pStyle w:val="ListParagraph"/>
        <w:numPr>
          <w:ilvl w:val="1"/>
          <w:numId w:val="4"/>
        </w:numPr>
        <w:spacing w:before="0" w:after="0" w:line="240" w:lineRule="auto"/>
      </w:pPr>
      <w:r w:rsidRPr="00726339">
        <w:t xml:space="preserve">Q7.7:  </w:t>
      </w:r>
      <w:r w:rsidR="009D5CD1">
        <w:t>T</w:t>
      </w:r>
      <w:r w:rsidRPr="00726339">
        <w:t>he child welfare professional provided appropriate services to meet the identified need of the father.</w:t>
      </w:r>
    </w:p>
    <w:p w14:paraId="679ADCE9" w14:textId="67DA0E6D" w:rsidR="00726339" w:rsidRDefault="00726339" w:rsidP="00726339">
      <w:pPr>
        <w:pStyle w:val="ListParagraph"/>
        <w:numPr>
          <w:ilvl w:val="1"/>
          <w:numId w:val="4"/>
        </w:numPr>
        <w:spacing w:before="0" w:after="0" w:line="240" w:lineRule="auto"/>
      </w:pPr>
      <w:r w:rsidRPr="00726339">
        <w:t>Q8.5:  The child welfare professional conducted or arranged for formal or informal assessments that accurately identified the needs of the foster parents, relative/non-relative caregiver, or pre-adoptive parents on an ongoing basis with respect to services they need in order to provide appropriate care and supervision to ensure safety and well-being of the children in their care.</w:t>
      </w:r>
    </w:p>
    <w:p w14:paraId="191FA11A" w14:textId="0838BA57" w:rsidR="00726339" w:rsidRDefault="00726339" w:rsidP="00726339">
      <w:pPr>
        <w:pStyle w:val="ListParagraph"/>
        <w:numPr>
          <w:ilvl w:val="1"/>
          <w:numId w:val="4"/>
        </w:numPr>
        <w:spacing w:before="0" w:after="0" w:line="240" w:lineRule="auto"/>
      </w:pPr>
      <w:r>
        <w:t>Q9.6:  Has the child welfare professional had ongoing contact with service providers involved with the family?</w:t>
      </w:r>
    </w:p>
    <w:p w14:paraId="2CBC8CC1" w14:textId="7CC2092D" w:rsidR="00726339" w:rsidRDefault="00726339" w:rsidP="00726339">
      <w:pPr>
        <w:pStyle w:val="ListParagraph"/>
        <w:numPr>
          <w:ilvl w:val="1"/>
          <w:numId w:val="4"/>
        </w:numPr>
        <w:spacing w:before="0" w:after="0" w:line="240" w:lineRule="auto"/>
      </w:pPr>
      <w:r>
        <w:t>Was a Comprehensive Behavioral Health Assessment (CBHA) completed for the child upon entering out of home care?</w:t>
      </w:r>
    </w:p>
    <w:p w14:paraId="58709B0F" w14:textId="3AE6FE4E" w:rsidR="00726339" w:rsidRDefault="00726339" w:rsidP="00726339">
      <w:pPr>
        <w:pStyle w:val="ListParagraph"/>
        <w:numPr>
          <w:ilvl w:val="1"/>
          <w:numId w:val="4"/>
        </w:numPr>
        <w:spacing w:before="0" w:after="0" w:line="240" w:lineRule="auto"/>
      </w:pPr>
      <w:r>
        <w:t>Was a Comprehensive Behavioral Health Care Assessment (CBHA) updated based on case circumstances?</w:t>
      </w:r>
    </w:p>
    <w:p w14:paraId="7EB274C0" w14:textId="4AB6D306" w:rsidR="00726339" w:rsidRDefault="00726339" w:rsidP="00726339">
      <w:pPr>
        <w:pStyle w:val="ListParagraph"/>
        <w:numPr>
          <w:ilvl w:val="1"/>
          <w:numId w:val="4"/>
        </w:numPr>
        <w:spacing w:before="0" w:after="0" w:line="240" w:lineRule="auto"/>
      </w:pPr>
      <w:r>
        <w:t>Was a Comprehensive Behavioral Assessment (CBHA) or other mental health assessment used as part of the case manager's assessment?</w:t>
      </w:r>
    </w:p>
    <w:p w14:paraId="440567A6" w14:textId="162597D4" w:rsidR="00C26000" w:rsidRDefault="00C26000" w:rsidP="00C26000">
      <w:pPr>
        <w:spacing w:before="0" w:after="0" w:line="240" w:lineRule="auto"/>
      </w:pPr>
      <w:r>
        <w:rPr>
          <w:b/>
          <w:bCs/>
        </w:rPr>
        <w:t xml:space="preserve">Item </w:t>
      </w:r>
      <w:r w:rsidR="00726339">
        <w:rPr>
          <w:b/>
          <w:bCs/>
        </w:rPr>
        <w:t>13</w:t>
      </w:r>
      <w:r>
        <w:rPr>
          <w:b/>
          <w:bCs/>
        </w:rPr>
        <w:t xml:space="preserve">: </w:t>
      </w:r>
      <w:r w:rsidRPr="0075677B">
        <w:rPr>
          <w:b/>
          <w:bCs/>
        </w:rPr>
        <w:t>Permanency Goal for the Child</w:t>
      </w:r>
    </w:p>
    <w:p w14:paraId="1E663196" w14:textId="3B3E64A7" w:rsidR="00C26000" w:rsidRDefault="00C26000" w:rsidP="00C26000">
      <w:pPr>
        <w:pStyle w:val="ListParagraph"/>
        <w:numPr>
          <w:ilvl w:val="0"/>
          <w:numId w:val="4"/>
        </w:numPr>
        <w:spacing w:before="0" w:after="0" w:line="240" w:lineRule="auto"/>
      </w:pPr>
      <w:r>
        <w:t>On-Going Services Questions:</w:t>
      </w:r>
    </w:p>
    <w:p w14:paraId="63A81CD4" w14:textId="62CA5B1A" w:rsidR="00726339" w:rsidRDefault="00726339" w:rsidP="00726339">
      <w:pPr>
        <w:pStyle w:val="ListParagraph"/>
        <w:numPr>
          <w:ilvl w:val="1"/>
          <w:numId w:val="4"/>
        </w:numPr>
        <w:spacing w:before="0" w:after="0" w:line="240" w:lineRule="auto"/>
      </w:pPr>
      <w:r w:rsidRPr="00726339">
        <w:t>The child welfare professional made concerted efforts to actively involve the child in the case planning process</w:t>
      </w:r>
    </w:p>
    <w:p w14:paraId="7C7DA23A" w14:textId="0815F10E" w:rsidR="00726339" w:rsidRDefault="00726339" w:rsidP="00726339">
      <w:pPr>
        <w:pStyle w:val="ListParagraph"/>
        <w:numPr>
          <w:ilvl w:val="1"/>
          <w:numId w:val="4"/>
        </w:numPr>
        <w:spacing w:before="0" w:after="0" w:line="240" w:lineRule="auto"/>
      </w:pPr>
      <w:r w:rsidRPr="00726339">
        <w:t>The child welfare professional made concerted efforts to actively involve the mother in the case planning process</w:t>
      </w:r>
    </w:p>
    <w:p w14:paraId="00665364" w14:textId="4CCD5C2F" w:rsidR="00726339" w:rsidRDefault="00726339" w:rsidP="00726339">
      <w:pPr>
        <w:pStyle w:val="ListParagraph"/>
        <w:numPr>
          <w:ilvl w:val="1"/>
          <w:numId w:val="4"/>
        </w:numPr>
        <w:spacing w:before="0" w:after="0" w:line="240" w:lineRule="auto"/>
      </w:pPr>
      <w:r w:rsidRPr="00726339">
        <w:t>The child welfare professional made concerted efforts to actively involve the father in the case planning process</w:t>
      </w:r>
    </w:p>
    <w:p w14:paraId="1BA8E6BB" w14:textId="5A58F190" w:rsidR="00C26000" w:rsidRDefault="00C26000" w:rsidP="00C26000">
      <w:pPr>
        <w:spacing w:before="0" w:after="0" w:line="240" w:lineRule="auto"/>
        <w:rPr>
          <w:b/>
          <w:bCs/>
        </w:rPr>
      </w:pPr>
      <w:r>
        <w:rPr>
          <w:b/>
          <w:bCs/>
        </w:rPr>
        <w:t xml:space="preserve">Item </w:t>
      </w:r>
      <w:r w:rsidR="003667C7">
        <w:rPr>
          <w:b/>
          <w:bCs/>
        </w:rPr>
        <w:t>14</w:t>
      </w:r>
      <w:r>
        <w:rPr>
          <w:b/>
          <w:bCs/>
        </w:rPr>
        <w:t>:</w:t>
      </w:r>
      <w:r w:rsidRPr="0075677B">
        <w:t xml:space="preserve"> </w:t>
      </w:r>
      <w:r w:rsidR="003667C7" w:rsidRPr="003667C7">
        <w:rPr>
          <w:b/>
          <w:bCs/>
        </w:rPr>
        <w:t>Caseworker Visits with the Child</w:t>
      </w:r>
    </w:p>
    <w:p w14:paraId="7D3786FD" w14:textId="1830751A" w:rsidR="003667C7" w:rsidRDefault="003667C7" w:rsidP="00C26000">
      <w:pPr>
        <w:pStyle w:val="ListParagraph"/>
        <w:numPr>
          <w:ilvl w:val="0"/>
          <w:numId w:val="5"/>
        </w:numPr>
        <w:spacing w:before="0" w:after="0" w:line="240" w:lineRule="auto"/>
      </w:pPr>
      <w:r>
        <w:t>Investigations Questions:</w:t>
      </w:r>
    </w:p>
    <w:p w14:paraId="2E0B05DF" w14:textId="7E9B9B10" w:rsidR="009D5CD1" w:rsidRDefault="009D5CD1" w:rsidP="009D5CD1">
      <w:pPr>
        <w:pStyle w:val="ListParagraph"/>
        <w:numPr>
          <w:ilvl w:val="1"/>
          <w:numId w:val="5"/>
        </w:numPr>
        <w:spacing w:before="0" w:after="0" w:line="240" w:lineRule="auto"/>
      </w:pPr>
      <w:r w:rsidRPr="003667C7">
        <w:t>CPI Conducted quality interviews with the child(ren).</w:t>
      </w:r>
    </w:p>
    <w:p w14:paraId="56EB245A" w14:textId="6FE8D2AC" w:rsidR="009D5CD1" w:rsidRDefault="009D5CD1" w:rsidP="00C26000">
      <w:pPr>
        <w:pStyle w:val="ListParagraph"/>
        <w:numPr>
          <w:ilvl w:val="0"/>
          <w:numId w:val="5"/>
        </w:numPr>
        <w:spacing w:before="0" w:after="0" w:line="240" w:lineRule="auto"/>
      </w:pPr>
      <w:r>
        <w:t>On-Going Services Questions:</w:t>
      </w:r>
    </w:p>
    <w:p w14:paraId="295675C1" w14:textId="1D16EFD7" w:rsidR="009D5CD1" w:rsidRDefault="009D5CD1" w:rsidP="009D5CD1">
      <w:pPr>
        <w:pStyle w:val="ListParagraph"/>
        <w:numPr>
          <w:ilvl w:val="1"/>
          <w:numId w:val="5"/>
        </w:numPr>
        <w:spacing w:before="0" w:after="0" w:line="240" w:lineRule="auto"/>
      </w:pPr>
      <w:r>
        <w:lastRenderedPageBreak/>
        <w:t>Is the frequency and quality of the visits between the case manager and the child(ren) sufficient to address issues pertaining to the safety, permanency, and well-being of the child(ren) and promote achievement of case goals?</w:t>
      </w:r>
    </w:p>
    <w:p w14:paraId="49477282" w14:textId="199505D1" w:rsidR="009D5CD1" w:rsidRPr="009D5CD1" w:rsidRDefault="009D5CD1" w:rsidP="009D5CD1">
      <w:pPr>
        <w:spacing w:before="0" w:after="0" w:line="240" w:lineRule="auto"/>
      </w:pPr>
      <w:r>
        <w:rPr>
          <w:b/>
          <w:bCs/>
        </w:rPr>
        <w:t>Item 15: Caseworker Visits with Parents</w:t>
      </w:r>
    </w:p>
    <w:p w14:paraId="69DC8B44" w14:textId="6D92F16A" w:rsidR="003667C7" w:rsidRDefault="003667C7" w:rsidP="003667C7">
      <w:pPr>
        <w:pStyle w:val="ListParagraph"/>
        <w:numPr>
          <w:ilvl w:val="1"/>
          <w:numId w:val="5"/>
        </w:numPr>
        <w:spacing w:before="0" w:after="0" w:line="240" w:lineRule="auto"/>
      </w:pPr>
      <w:r w:rsidRPr="003667C7">
        <w:t>The CPI conducted quality Interviews with the parents/caregivers/household members</w:t>
      </w:r>
    </w:p>
    <w:p w14:paraId="10680A07" w14:textId="39446752" w:rsidR="003667C7" w:rsidRDefault="003667C7" w:rsidP="003667C7">
      <w:pPr>
        <w:pStyle w:val="ListParagraph"/>
        <w:numPr>
          <w:ilvl w:val="1"/>
          <w:numId w:val="5"/>
        </w:numPr>
        <w:spacing w:before="0" w:after="0" w:line="240" w:lineRule="auto"/>
      </w:pPr>
      <w:r w:rsidRPr="003667C7">
        <w:t>CPI saw or made ongoing diligent efforts to interview all parents and adult household members within the assigned response priority of the intake or of learning they were in the home</w:t>
      </w:r>
    </w:p>
    <w:p w14:paraId="74110E43" w14:textId="77777777" w:rsidR="003667C7" w:rsidRDefault="00C26000" w:rsidP="003667C7">
      <w:pPr>
        <w:pStyle w:val="ListParagraph"/>
        <w:numPr>
          <w:ilvl w:val="0"/>
          <w:numId w:val="5"/>
        </w:numPr>
        <w:spacing w:before="0" w:after="0" w:line="240" w:lineRule="auto"/>
      </w:pPr>
      <w:r>
        <w:t>On-Going Services Questions:</w:t>
      </w:r>
    </w:p>
    <w:p w14:paraId="70E3D29E" w14:textId="103C795A" w:rsidR="003667C7" w:rsidRDefault="003667C7" w:rsidP="003667C7">
      <w:pPr>
        <w:pStyle w:val="ListParagraph"/>
        <w:numPr>
          <w:ilvl w:val="1"/>
          <w:numId w:val="5"/>
        </w:numPr>
        <w:spacing w:before="0" w:after="0" w:line="240" w:lineRule="auto"/>
      </w:pPr>
      <w:r>
        <w:t>Is the quality of the visits between the case manager and the child's mother sufficient to ensure child safety and evaluate progress toward case plan outcomes?</w:t>
      </w:r>
    </w:p>
    <w:p w14:paraId="73FABB16" w14:textId="03AEED57" w:rsidR="003667C7" w:rsidRDefault="003667C7" w:rsidP="003667C7">
      <w:pPr>
        <w:pStyle w:val="ListParagraph"/>
        <w:numPr>
          <w:ilvl w:val="1"/>
          <w:numId w:val="5"/>
        </w:numPr>
        <w:spacing w:before="0" w:after="0" w:line="240" w:lineRule="auto"/>
      </w:pPr>
      <w:r>
        <w:t>Is the quality of the visits between the case manager and the child's father sufficient to ensure child safety and evaluate progress toward case plan outcomes?</w:t>
      </w:r>
    </w:p>
    <w:p w14:paraId="6B7367AC" w14:textId="68D3D33B" w:rsidR="003667C7" w:rsidRDefault="003667C7" w:rsidP="003667C7">
      <w:pPr>
        <w:pStyle w:val="ListParagraph"/>
        <w:numPr>
          <w:ilvl w:val="1"/>
          <w:numId w:val="5"/>
        </w:numPr>
        <w:spacing w:before="0" w:after="0" w:line="240" w:lineRule="auto"/>
      </w:pPr>
      <w:r>
        <w:t>Were conditions for return discussed with the father on an ongoing basis?</w:t>
      </w:r>
    </w:p>
    <w:p w14:paraId="4D6C6C84" w14:textId="1126B6B8" w:rsidR="00840845" w:rsidRDefault="00840845" w:rsidP="003667C7">
      <w:pPr>
        <w:pStyle w:val="ListParagraph"/>
        <w:numPr>
          <w:ilvl w:val="1"/>
          <w:numId w:val="5"/>
        </w:numPr>
        <w:spacing w:before="0" w:after="0" w:line="240" w:lineRule="auto"/>
      </w:pPr>
      <w:r>
        <w:t>If no, select all that apply; if “conditions for return not discussed at frequency needed for circumstances of the case”, is selected as the reason the visit was not of quality, this is counted negatively toward the performance.</w:t>
      </w:r>
    </w:p>
    <w:p w14:paraId="6CB95B22" w14:textId="66D6B219" w:rsidR="00C26000" w:rsidRDefault="00C26000" w:rsidP="003667C7">
      <w:pPr>
        <w:spacing w:before="0" w:after="0" w:line="240" w:lineRule="auto"/>
        <w:rPr>
          <w:b/>
          <w:bCs/>
        </w:rPr>
      </w:pPr>
      <w:r>
        <w:rPr>
          <w:b/>
          <w:bCs/>
        </w:rPr>
        <w:t xml:space="preserve">Item </w:t>
      </w:r>
      <w:r w:rsidR="003667C7">
        <w:rPr>
          <w:b/>
          <w:bCs/>
        </w:rPr>
        <w:t>16</w:t>
      </w:r>
      <w:r>
        <w:rPr>
          <w:b/>
          <w:bCs/>
        </w:rPr>
        <w:t>:</w:t>
      </w:r>
      <w:r w:rsidRPr="0075677B">
        <w:t xml:space="preserve"> </w:t>
      </w:r>
      <w:r w:rsidR="003667C7">
        <w:rPr>
          <w:b/>
          <w:bCs/>
        </w:rPr>
        <w:t>Educational Needs of the Child</w:t>
      </w:r>
    </w:p>
    <w:p w14:paraId="6013DB5D" w14:textId="77777777" w:rsidR="00C26000" w:rsidRDefault="00C26000" w:rsidP="00C26000">
      <w:pPr>
        <w:pStyle w:val="ListParagraph"/>
        <w:numPr>
          <w:ilvl w:val="0"/>
          <w:numId w:val="5"/>
        </w:numPr>
        <w:spacing w:before="0" w:after="0" w:line="240" w:lineRule="auto"/>
      </w:pPr>
      <w:r>
        <w:t>On-Going Services Questions:</w:t>
      </w:r>
    </w:p>
    <w:p w14:paraId="1F1E556F" w14:textId="48E38CC6" w:rsidR="00840845" w:rsidRPr="00840845" w:rsidRDefault="00840845" w:rsidP="00321888">
      <w:pPr>
        <w:pStyle w:val="ListParagraph"/>
        <w:numPr>
          <w:ilvl w:val="1"/>
          <w:numId w:val="5"/>
        </w:numPr>
        <w:spacing w:before="0" w:after="0" w:line="240" w:lineRule="auto"/>
        <w:rPr>
          <w:b/>
          <w:bCs/>
        </w:rPr>
      </w:pPr>
      <w:r>
        <w:t xml:space="preserve">Child welfare professional conducted or arranged for formal or informal assessments that accurately and thoroughly identified the children’s educational needs. </w:t>
      </w:r>
    </w:p>
    <w:p w14:paraId="68E1B833" w14:textId="49460AEF" w:rsidR="003667C7" w:rsidRPr="003667C7" w:rsidRDefault="003667C7" w:rsidP="00321888">
      <w:pPr>
        <w:pStyle w:val="ListParagraph"/>
        <w:numPr>
          <w:ilvl w:val="1"/>
          <w:numId w:val="5"/>
        </w:numPr>
        <w:spacing w:before="0" w:after="0" w:line="240" w:lineRule="auto"/>
        <w:rPr>
          <w:b/>
          <w:bCs/>
        </w:rPr>
      </w:pPr>
      <w:r w:rsidRPr="003667C7">
        <w:t>Appropriate services were provided to meet the children's identified educational needs.</w:t>
      </w:r>
    </w:p>
    <w:p w14:paraId="6D5768A3" w14:textId="27A2BA57" w:rsidR="00C26000" w:rsidRPr="003667C7" w:rsidRDefault="00C26000" w:rsidP="003667C7">
      <w:pPr>
        <w:spacing w:before="0" w:after="0" w:line="240" w:lineRule="auto"/>
        <w:rPr>
          <w:b/>
          <w:bCs/>
        </w:rPr>
      </w:pPr>
      <w:r w:rsidRPr="003667C7">
        <w:rPr>
          <w:b/>
          <w:bCs/>
        </w:rPr>
        <w:t xml:space="preserve">Item </w:t>
      </w:r>
      <w:r w:rsidR="003667C7">
        <w:rPr>
          <w:b/>
          <w:bCs/>
        </w:rPr>
        <w:t>17</w:t>
      </w:r>
      <w:r w:rsidRPr="003667C7">
        <w:rPr>
          <w:b/>
          <w:bCs/>
        </w:rPr>
        <w:t xml:space="preserve">: </w:t>
      </w:r>
      <w:r w:rsidR="003667C7">
        <w:rPr>
          <w:b/>
          <w:bCs/>
        </w:rPr>
        <w:t>Physical/Dental Health Needs of the Child</w:t>
      </w:r>
    </w:p>
    <w:p w14:paraId="4D561F8A" w14:textId="50DDA426" w:rsidR="00C26000" w:rsidRDefault="00C26000" w:rsidP="00C26000">
      <w:pPr>
        <w:pStyle w:val="ListParagraph"/>
        <w:numPr>
          <w:ilvl w:val="0"/>
          <w:numId w:val="6"/>
        </w:numPr>
        <w:spacing w:before="0" w:after="0" w:line="240" w:lineRule="auto"/>
      </w:pPr>
      <w:r>
        <w:t>On-</w:t>
      </w:r>
      <w:r w:rsidR="003667C7">
        <w:t>G</w:t>
      </w:r>
      <w:r>
        <w:t>oing Services Questions:</w:t>
      </w:r>
    </w:p>
    <w:p w14:paraId="4DEB0AA8" w14:textId="5C9C6404" w:rsidR="003667C7" w:rsidRDefault="003667C7" w:rsidP="003667C7">
      <w:pPr>
        <w:pStyle w:val="ListParagraph"/>
        <w:numPr>
          <w:ilvl w:val="1"/>
          <w:numId w:val="6"/>
        </w:numPr>
        <w:spacing w:before="0" w:after="0" w:line="240" w:lineRule="auto"/>
      </w:pPr>
      <w:r w:rsidRPr="003667C7">
        <w:t>The children's health records are up-to-date, in the case plan, and plan to address identified issues are in the case plan.</w:t>
      </w:r>
    </w:p>
    <w:p w14:paraId="01528079" w14:textId="2F5FF657" w:rsidR="00840845" w:rsidRDefault="00840845" w:rsidP="003667C7">
      <w:pPr>
        <w:pStyle w:val="ListParagraph"/>
        <w:numPr>
          <w:ilvl w:val="1"/>
          <w:numId w:val="6"/>
        </w:numPr>
        <w:spacing w:before="0" w:after="0" w:line="240" w:lineRule="auto"/>
      </w:pPr>
      <w:r>
        <w:t>Child welfare professional conducted or arranged for formal or information assessments that accurately and thoroughly identified the children’s medical needs.</w:t>
      </w:r>
    </w:p>
    <w:p w14:paraId="2E4E1222" w14:textId="76B5D05B" w:rsidR="003667C7" w:rsidRDefault="003667C7" w:rsidP="003667C7">
      <w:pPr>
        <w:pStyle w:val="ListParagraph"/>
        <w:numPr>
          <w:ilvl w:val="1"/>
          <w:numId w:val="6"/>
        </w:numPr>
        <w:spacing w:before="0" w:after="0" w:line="240" w:lineRule="auto"/>
      </w:pPr>
      <w:r w:rsidRPr="003667C7">
        <w:t>Appropriate services were provided to meet the children's identified medical needs.</w:t>
      </w:r>
    </w:p>
    <w:p w14:paraId="7D3AFD2E" w14:textId="38072A45" w:rsidR="003667C7" w:rsidRDefault="003667C7" w:rsidP="003667C7">
      <w:pPr>
        <w:pStyle w:val="ListParagraph"/>
        <w:numPr>
          <w:ilvl w:val="1"/>
          <w:numId w:val="6"/>
        </w:numPr>
        <w:spacing w:before="0" w:after="0" w:line="240" w:lineRule="auto"/>
      </w:pPr>
      <w:r w:rsidRPr="003667C7">
        <w:t>Appropriate services were provided to meet the children's identified dental needs.</w:t>
      </w:r>
    </w:p>
    <w:p w14:paraId="526E354C" w14:textId="0F7A4352" w:rsidR="00840845" w:rsidRDefault="00840845" w:rsidP="00840845">
      <w:pPr>
        <w:pStyle w:val="ListParagraph"/>
        <w:numPr>
          <w:ilvl w:val="1"/>
          <w:numId w:val="6"/>
        </w:numPr>
        <w:spacing w:before="0" w:after="0" w:line="240" w:lineRule="auto"/>
      </w:pPr>
      <w:r>
        <w:t>Child welfare professional conducted or arranged for formal or information assessments that accurately and thoroughly identified the children’s dental needs.</w:t>
      </w:r>
    </w:p>
    <w:p w14:paraId="51F06040" w14:textId="3C347781" w:rsidR="00C26000" w:rsidRDefault="00C26000" w:rsidP="00C26000">
      <w:pPr>
        <w:spacing w:before="0" w:after="0" w:line="240" w:lineRule="auto"/>
        <w:rPr>
          <w:b/>
          <w:bCs/>
        </w:rPr>
      </w:pPr>
      <w:r>
        <w:rPr>
          <w:b/>
          <w:bCs/>
        </w:rPr>
        <w:t xml:space="preserve">Item </w:t>
      </w:r>
      <w:r w:rsidR="003667C7">
        <w:rPr>
          <w:b/>
          <w:bCs/>
        </w:rPr>
        <w:t>18</w:t>
      </w:r>
      <w:r>
        <w:rPr>
          <w:b/>
          <w:bCs/>
        </w:rPr>
        <w:t xml:space="preserve">: </w:t>
      </w:r>
      <w:r w:rsidR="003667C7">
        <w:rPr>
          <w:b/>
          <w:bCs/>
        </w:rPr>
        <w:t>Mental/Behavioral Health of the Child</w:t>
      </w:r>
    </w:p>
    <w:p w14:paraId="01447625" w14:textId="77777777" w:rsidR="003667C7" w:rsidRDefault="00C26000" w:rsidP="003667C7">
      <w:pPr>
        <w:pStyle w:val="ListParagraph"/>
        <w:numPr>
          <w:ilvl w:val="0"/>
          <w:numId w:val="6"/>
        </w:numPr>
        <w:spacing w:before="0" w:after="0" w:line="240" w:lineRule="auto"/>
      </w:pPr>
      <w:r>
        <w:t>On-Going Services Questions:</w:t>
      </w:r>
    </w:p>
    <w:p w14:paraId="26640A0F" w14:textId="16481E4A" w:rsidR="003667C7" w:rsidRDefault="003667C7" w:rsidP="003667C7">
      <w:pPr>
        <w:pStyle w:val="ListParagraph"/>
        <w:numPr>
          <w:ilvl w:val="1"/>
          <w:numId w:val="6"/>
        </w:numPr>
        <w:spacing w:before="0" w:after="0" w:line="240" w:lineRule="auto"/>
      </w:pPr>
      <w:r>
        <w:t xml:space="preserve">The Child Welfare professional conducted or arranged for formal or informal assessment that accurately identified the children's </w:t>
      </w:r>
      <w:r w:rsidR="00840845">
        <w:t xml:space="preserve"> behavioral health </w:t>
      </w:r>
      <w:r>
        <w:t>needs.</w:t>
      </w:r>
    </w:p>
    <w:p w14:paraId="0228C598" w14:textId="1935CE75" w:rsidR="003667C7" w:rsidRDefault="003667C7" w:rsidP="003667C7">
      <w:pPr>
        <w:pStyle w:val="ListParagraph"/>
        <w:numPr>
          <w:ilvl w:val="1"/>
          <w:numId w:val="6"/>
        </w:numPr>
        <w:spacing w:before="0" w:after="0" w:line="240" w:lineRule="auto"/>
      </w:pPr>
      <w:r w:rsidRPr="003667C7">
        <w:t>The agency provided appropriate oversight of prescription medication for mental/behavioral health issues.</w:t>
      </w:r>
    </w:p>
    <w:p w14:paraId="209F3E80" w14:textId="2D0040F7" w:rsidR="003667C7" w:rsidRDefault="003667C7" w:rsidP="003667C7">
      <w:pPr>
        <w:pStyle w:val="ListParagraph"/>
        <w:numPr>
          <w:ilvl w:val="1"/>
          <w:numId w:val="6"/>
        </w:numPr>
        <w:spacing w:before="0" w:after="0" w:line="240" w:lineRule="auto"/>
      </w:pPr>
      <w:r w:rsidRPr="003667C7">
        <w:t>Q5.7:  Appropriate Services were provided to meet the children's identified behavioral health needs</w:t>
      </w:r>
    </w:p>
    <w:p w14:paraId="3353A1F6" w14:textId="72537BBC" w:rsidR="00C26000" w:rsidRPr="003667C7" w:rsidRDefault="00C26000" w:rsidP="003667C7">
      <w:pPr>
        <w:spacing w:before="0" w:after="0" w:line="240" w:lineRule="auto"/>
      </w:pPr>
      <w:r w:rsidRPr="003667C7">
        <w:rPr>
          <w:b/>
          <w:bCs/>
        </w:rPr>
        <w:t>Calculation:</w:t>
      </w:r>
    </w:p>
    <w:p w14:paraId="2A792AEB" w14:textId="42F0A210" w:rsidR="00C26000" w:rsidRPr="00500C44" w:rsidRDefault="00000000" w:rsidP="00C26000">
      <w:pPr>
        <w:spacing w:line="23" w:lineRule="atLeast"/>
        <w:rPr>
          <w:rFonts w:eastAsiaTheme="minorEastAsia"/>
          <w:b/>
          <w:bCs/>
        </w:rPr>
      </w:pPr>
      <m:oMathPara>
        <m:oMath>
          <m:f>
            <m:fPr>
              <m:ctrlPr>
                <w:rPr>
                  <w:rFonts w:ascii="Cambria Math" w:hAnsi="Cambria Math"/>
                  <w:b/>
                  <w:bCs/>
                  <w:i/>
                </w:rPr>
              </m:ctrlPr>
            </m:fPr>
            <m:num>
              <m:r>
                <m:rPr>
                  <m:sty m:val="bi"/>
                </m:rPr>
                <w:rPr>
                  <w:rFonts w:ascii="Cambria Math" w:hAnsi="Cambria Math"/>
                </w:rPr>
                <m:t>Total number of positive responses to questions related to Items 12-18</m:t>
              </m:r>
              <m:r>
                <m:rPr>
                  <m:sty m:val="bi"/>
                </m:rPr>
                <w:rPr>
                  <w:rStyle w:val="FootnoteReference"/>
                  <w:rFonts w:ascii="Cambria Math" w:hAnsi="Cambria Math"/>
                  <w:b/>
                  <w:i/>
                </w:rPr>
                <w:footnoteReference w:id="4"/>
              </m:r>
            </m:num>
            <m:den>
              <m:r>
                <m:rPr>
                  <m:sty m:val="bi"/>
                </m:rPr>
                <w:rPr>
                  <w:rFonts w:ascii="Cambria Math" w:hAnsi="Cambria Math"/>
                </w:rPr>
                <m:t>The total number of responses to questions related to Items 12-18</m:t>
              </m:r>
            </m:den>
          </m:f>
        </m:oMath>
      </m:oMathPara>
    </w:p>
    <w:p w14:paraId="076B6C9A" w14:textId="27D0B817" w:rsidR="00224FE0" w:rsidRDefault="00C26000" w:rsidP="003667C7">
      <w:pPr>
        <w:spacing w:line="23" w:lineRule="atLeast"/>
      </w:pPr>
      <w:r>
        <w:rPr>
          <w:b/>
          <w:bCs/>
        </w:rPr>
        <w:t>Standard</w:t>
      </w:r>
      <w:r w:rsidRPr="009A2E54">
        <w:rPr>
          <w:b/>
          <w:bCs/>
        </w:rPr>
        <w:t>:</w:t>
      </w:r>
      <w:r>
        <w:t xml:space="preserve">  90%, based on national standards</w:t>
      </w:r>
      <w:bookmarkStart w:id="43" w:name="_Toc50665897"/>
      <w:bookmarkStart w:id="44" w:name="_Hlk49417156"/>
    </w:p>
    <w:p w14:paraId="30E1370C" w14:textId="77777777" w:rsidR="0025625E" w:rsidRPr="00780213" w:rsidRDefault="0025625E" w:rsidP="00443C6B">
      <w:pPr>
        <w:pStyle w:val="Heading1"/>
      </w:pPr>
      <w:bookmarkStart w:id="45" w:name="_Toc50665911"/>
      <w:bookmarkStart w:id="46" w:name="_Toc81913971"/>
      <w:bookmarkStart w:id="47" w:name="_Toc127779927"/>
      <w:bookmarkEnd w:id="36"/>
      <w:bookmarkEnd w:id="43"/>
      <w:bookmarkEnd w:id="44"/>
      <w:r w:rsidRPr="00780213">
        <w:t>References</w:t>
      </w:r>
      <w:bookmarkEnd w:id="45"/>
      <w:bookmarkEnd w:id="46"/>
      <w:bookmarkEnd w:id="47"/>
    </w:p>
    <w:p w14:paraId="4B09A458" w14:textId="77777777" w:rsidR="0025625E" w:rsidRDefault="0025625E" w:rsidP="00443C6B">
      <w:pPr>
        <w:spacing w:before="0" w:after="0" w:line="20" w:lineRule="atLeast"/>
      </w:pPr>
      <w:r w:rsidRPr="001E5841">
        <w:t xml:space="preserve">The Annie E. Casey Foundation (2015). </w:t>
      </w:r>
      <w:r w:rsidRPr="00407AE4">
        <w:t xml:space="preserve">10 Practices Part One:  A Child Welfare Leader’s Desk </w:t>
      </w:r>
    </w:p>
    <w:p w14:paraId="4BF2ADC4" w14:textId="77777777" w:rsidR="0025625E" w:rsidRDefault="0025625E" w:rsidP="00443C6B">
      <w:pPr>
        <w:spacing w:before="0" w:after="0" w:line="20" w:lineRule="atLeast"/>
        <w:ind w:left="720"/>
      </w:pPr>
      <w:r w:rsidRPr="00407AE4">
        <w:t>Guide to Building a High-Performing Agency.</w:t>
      </w:r>
      <w:r w:rsidRPr="001E5841">
        <w:t xml:space="preserve"> </w:t>
      </w:r>
      <w:r w:rsidRPr="00407AE4">
        <w:rPr>
          <w:i/>
          <w:iCs/>
        </w:rPr>
        <w:t>The Annie E. Casey Foundation</w:t>
      </w:r>
      <w:r w:rsidRPr="001E5841">
        <w:t>.</w:t>
      </w:r>
      <w:r>
        <w:t xml:space="preserve"> </w:t>
      </w:r>
      <w:r w:rsidRPr="00813CBA">
        <w:t xml:space="preserve"> Retrieved from</w:t>
      </w:r>
      <w:r>
        <w:t>:</w:t>
      </w:r>
      <w:r w:rsidRPr="00813CBA">
        <w:t xml:space="preserve"> </w:t>
      </w:r>
      <w:hyperlink r:id="rId20" w:history="1">
        <w:r>
          <w:rPr>
            <w:rStyle w:val="Hyperlink"/>
          </w:rPr>
          <w:t>https://www.aecf.org/resources/10-practices-part-one/</w:t>
        </w:r>
      </w:hyperlink>
      <w:r>
        <w:t>.</w:t>
      </w:r>
    </w:p>
    <w:p w14:paraId="38012453" w14:textId="77777777" w:rsidR="0025625E" w:rsidRDefault="0025625E" w:rsidP="00443C6B">
      <w:pPr>
        <w:spacing w:before="0" w:after="0" w:line="20" w:lineRule="atLeast"/>
        <w:ind w:left="720"/>
      </w:pPr>
    </w:p>
    <w:p w14:paraId="1EDB621D" w14:textId="77777777" w:rsidR="0025625E" w:rsidRDefault="0025625E" w:rsidP="00443C6B">
      <w:pPr>
        <w:spacing w:before="0" w:after="0" w:line="20" w:lineRule="atLeast"/>
      </w:pPr>
      <w:r>
        <w:t xml:space="preserve">Assaria, Shevin. (2018). Life expectancy gain due to employment status depends on race, </w:t>
      </w:r>
    </w:p>
    <w:p w14:paraId="614FC3D5" w14:textId="77777777" w:rsidR="0025625E" w:rsidRDefault="0025625E" w:rsidP="00443C6B">
      <w:pPr>
        <w:spacing w:before="0" w:after="0" w:line="20" w:lineRule="atLeast"/>
        <w:ind w:left="720"/>
      </w:pPr>
      <w:r>
        <w:t xml:space="preserve">gender, education, and their intersections. </w:t>
      </w:r>
      <w:r>
        <w:rPr>
          <w:i/>
          <w:iCs/>
        </w:rPr>
        <w:t>Journal of Racial and Ethnic Health Disparities</w:t>
      </w:r>
      <w:r>
        <w:t>, 5: 375-386.</w:t>
      </w:r>
    </w:p>
    <w:p w14:paraId="4C189F4A" w14:textId="77777777" w:rsidR="0025625E" w:rsidRDefault="0025625E" w:rsidP="00443C6B">
      <w:pPr>
        <w:spacing w:before="0" w:after="0" w:line="20" w:lineRule="atLeast"/>
        <w:ind w:left="720"/>
      </w:pPr>
    </w:p>
    <w:p w14:paraId="67A3BCB6" w14:textId="77777777" w:rsidR="0025625E" w:rsidRDefault="0025625E" w:rsidP="00443C6B">
      <w:pPr>
        <w:spacing w:before="0" w:after="0" w:line="20" w:lineRule="atLeast"/>
      </w:pPr>
      <w:r>
        <w:t xml:space="preserve">Antle, B., Christensen, D., van Zyl, M., &amp; Barbee, A. (2012). </w:t>
      </w:r>
      <w:r w:rsidRPr="000840ED">
        <w:t xml:space="preserve">The </w:t>
      </w:r>
      <w:r>
        <w:t>i</w:t>
      </w:r>
      <w:r w:rsidRPr="000840ED">
        <w:t xml:space="preserve">mpact of the </w:t>
      </w:r>
      <w:r>
        <w:t>s</w:t>
      </w:r>
      <w:r w:rsidRPr="000840ED">
        <w:t xml:space="preserve">olution </w:t>
      </w:r>
      <w:r>
        <w:t>b</w:t>
      </w:r>
      <w:r w:rsidRPr="000840ED">
        <w:t xml:space="preserve">ased </w:t>
      </w:r>
    </w:p>
    <w:p w14:paraId="0F8B825D" w14:textId="77777777" w:rsidR="0025625E" w:rsidRDefault="0025625E" w:rsidP="00443C6B">
      <w:pPr>
        <w:spacing w:before="0" w:after="0" w:line="20" w:lineRule="atLeast"/>
        <w:ind w:left="720"/>
      </w:pPr>
      <w:r>
        <w:t>c</w:t>
      </w:r>
      <w:r w:rsidRPr="000840ED">
        <w:t>asework (SBC) practice model on federal outcomes in public child welfare</w:t>
      </w:r>
      <w:r>
        <w:rPr>
          <w:i/>
          <w:iCs/>
        </w:rPr>
        <w:t xml:space="preserve">. </w:t>
      </w:r>
      <w:r w:rsidRPr="000840ED">
        <w:rPr>
          <w:i/>
          <w:iCs/>
        </w:rPr>
        <w:t>Child Abuse &amp; Neglect, 36(4)</w:t>
      </w:r>
      <w:r>
        <w:t>, 342-353.</w:t>
      </w:r>
    </w:p>
    <w:p w14:paraId="7614E101" w14:textId="77777777" w:rsidR="0025625E" w:rsidRDefault="0025625E" w:rsidP="00443C6B">
      <w:pPr>
        <w:spacing w:before="0" w:after="0" w:line="20" w:lineRule="atLeast"/>
        <w:ind w:left="720"/>
      </w:pPr>
    </w:p>
    <w:p w14:paraId="1A08DE8C" w14:textId="77777777" w:rsidR="0025625E" w:rsidRDefault="0025625E" w:rsidP="00443C6B">
      <w:pPr>
        <w:spacing w:before="0" w:after="0" w:line="20" w:lineRule="atLeast"/>
      </w:pPr>
      <w:r>
        <w:t xml:space="preserve">Bell, T., &amp; Romano, E. (2017). Permanency and safety among children in foster family and </w:t>
      </w:r>
    </w:p>
    <w:p w14:paraId="614E6C03" w14:textId="77777777" w:rsidR="0025625E" w:rsidRDefault="0025625E" w:rsidP="00443C6B">
      <w:pPr>
        <w:spacing w:before="0" w:after="0" w:line="20" w:lineRule="atLeast"/>
        <w:ind w:firstLine="720"/>
      </w:pPr>
      <w:r>
        <w:t>kinship care: A scoping review. </w:t>
      </w:r>
      <w:r w:rsidRPr="00BB1B88">
        <w:rPr>
          <w:i/>
          <w:iCs/>
        </w:rPr>
        <w:t>Trauma, Violence, &amp; Abuse</w:t>
      </w:r>
      <w:r>
        <w:t>, 18(3), 268-286.</w:t>
      </w:r>
    </w:p>
    <w:p w14:paraId="1892900D" w14:textId="77777777" w:rsidR="0025625E" w:rsidRDefault="0025625E" w:rsidP="00443C6B">
      <w:pPr>
        <w:spacing w:before="0" w:after="0" w:line="20" w:lineRule="atLeast"/>
        <w:ind w:firstLine="720"/>
      </w:pPr>
    </w:p>
    <w:p w14:paraId="49ACF7D9" w14:textId="77777777" w:rsidR="0025625E" w:rsidRDefault="0025625E" w:rsidP="00443C6B">
      <w:pPr>
        <w:spacing w:before="0" w:after="0" w:line="20" w:lineRule="atLeast"/>
        <w:rPr>
          <w:rFonts w:cs="Arial"/>
        </w:rPr>
      </w:pPr>
      <w:r w:rsidRPr="00143C09">
        <w:rPr>
          <w:rFonts w:cs="Arial"/>
        </w:rPr>
        <w:t xml:space="preserve">Browne, D., &amp; Moloney, A. (2002). “Contact Irregular”: A qualitative analysis of the impact of </w:t>
      </w:r>
    </w:p>
    <w:p w14:paraId="0BAD115C" w14:textId="77777777" w:rsidR="0025625E" w:rsidRDefault="0025625E" w:rsidP="00443C6B">
      <w:pPr>
        <w:spacing w:before="0" w:after="0" w:line="20" w:lineRule="atLeast"/>
        <w:ind w:firstLine="720"/>
        <w:rPr>
          <w:rFonts w:cs="Arial"/>
        </w:rPr>
      </w:pPr>
      <w:r w:rsidRPr="00143C09">
        <w:rPr>
          <w:rFonts w:cs="Arial"/>
        </w:rPr>
        <w:t>visiting patterns of natural parents on foster placements. </w:t>
      </w:r>
      <w:r w:rsidRPr="00143C09">
        <w:rPr>
          <w:rFonts w:cs="Arial"/>
          <w:i/>
          <w:iCs/>
        </w:rPr>
        <w:t xml:space="preserve">Child and Family Social </w:t>
      </w:r>
      <w:r w:rsidRPr="00143C09">
        <w:rPr>
          <w:rFonts w:cs="Arial"/>
          <w:i/>
          <w:iCs/>
        </w:rPr>
        <w:tab/>
        <w:t>Work,</w:t>
      </w:r>
      <w:r w:rsidRPr="00143C09">
        <w:rPr>
          <w:rFonts w:cs="Arial"/>
        </w:rPr>
        <w:t> </w:t>
      </w:r>
      <w:r w:rsidRPr="00143C09">
        <w:rPr>
          <w:rFonts w:cs="Arial"/>
          <w:i/>
          <w:iCs/>
        </w:rPr>
        <w:t>7</w:t>
      </w:r>
      <w:r w:rsidRPr="00143C09">
        <w:rPr>
          <w:rFonts w:cs="Arial"/>
        </w:rPr>
        <w:t>, 35–45.</w:t>
      </w:r>
    </w:p>
    <w:p w14:paraId="097F9B84" w14:textId="77777777" w:rsidR="0025625E" w:rsidRPr="00E15BC8" w:rsidRDefault="0025625E" w:rsidP="00443C6B">
      <w:pPr>
        <w:spacing w:before="0" w:after="0" w:line="20" w:lineRule="atLeast"/>
        <w:ind w:firstLine="720"/>
        <w:rPr>
          <w:rFonts w:cs="Arial"/>
        </w:rPr>
      </w:pPr>
    </w:p>
    <w:p w14:paraId="7F7DC70E" w14:textId="77777777" w:rsidR="0025625E" w:rsidRDefault="0025625E" w:rsidP="00443C6B">
      <w:pPr>
        <w:spacing w:before="0" w:after="0" w:line="20" w:lineRule="atLeast"/>
        <w:rPr>
          <w:rFonts w:cs="Arial"/>
          <w:i/>
          <w:iCs/>
          <w:color w:val="222222"/>
          <w:shd w:val="clear" w:color="auto" w:fill="FFFFFF"/>
        </w:rPr>
      </w:pPr>
      <w:r w:rsidRPr="00676773">
        <w:rPr>
          <w:rFonts w:cs="Arial"/>
          <w:color w:val="222222"/>
          <w:shd w:val="clear" w:color="auto" w:fill="FFFFFF"/>
        </w:rPr>
        <w:t>Carnochan, S., Lee, C., &amp; Austin, M. J. (2013). Achieving timely reunification. </w:t>
      </w:r>
      <w:r w:rsidRPr="00676773">
        <w:rPr>
          <w:rFonts w:cs="Arial"/>
          <w:i/>
          <w:iCs/>
          <w:color w:val="222222"/>
          <w:shd w:val="clear" w:color="auto" w:fill="FFFFFF"/>
        </w:rPr>
        <w:t xml:space="preserve">Journal of </w:t>
      </w:r>
    </w:p>
    <w:p w14:paraId="174A5575" w14:textId="77777777" w:rsidR="0025625E" w:rsidRDefault="0025625E" w:rsidP="00443C6B">
      <w:pPr>
        <w:spacing w:before="0" w:after="0" w:line="20" w:lineRule="atLeast"/>
        <w:ind w:firstLine="720"/>
        <w:rPr>
          <w:rFonts w:cs="Arial"/>
          <w:color w:val="222222"/>
          <w:shd w:val="clear" w:color="auto" w:fill="FFFFFF"/>
        </w:rPr>
      </w:pPr>
      <w:r w:rsidRPr="00676773">
        <w:rPr>
          <w:rFonts w:cs="Arial"/>
          <w:i/>
          <w:iCs/>
          <w:color w:val="222222"/>
          <w:shd w:val="clear" w:color="auto" w:fill="FFFFFF"/>
        </w:rPr>
        <w:t>Evidence-Based Social Work</w:t>
      </w:r>
      <w:r w:rsidRPr="00676773">
        <w:rPr>
          <w:rFonts w:cs="Arial"/>
          <w:color w:val="222222"/>
          <w:shd w:val="clear" w:color="auto" w:fill="FFFFFF"/>
        </w:rPr>
        <w:t>, </w:t>
      </w:r>
      <w:r w:rsidRPr="00676773">
        <w:rPr>
          <w:rFonts w:cs="Arial"/>
          <w:i/>
          <w:iCs/>
          <w:color w:val="222222"/>
          <w:shd w:val="clear" w:color="auto" w:fill="FFFFFF"/>
        </w:rPr>
        <w:t>10</w:t>
      </w:r>
      <w:r w:rsidRPr="00676773">
        <w:rPr>
          <w:rFonts w:cs="Arial"/>
          <w:color w:val="222222"/>
          <w:shd w:val="clear" w:color="auto" w:fill="FFFFFF"/>
        </w:rPr>
        <w:t>(3), 179-195.</w:t>
      </w:r>
    </w:p>
    <w:p w14:paraId="19BD163D" w14:textId="77777777" w:rsidR="0025625E" w:rsidRPr="00BB1B88" w:rsidRDefault="0025625E" w:rsidP="00443C6B">
      <w:pPr>
        <w:spacing w:before="0" w:after="0" w:line="20" w:lineRule="atLeast"/>
        <w:ind w:firstLine="720"/>
        <w:rPr>
          <w:rFonts w:cs="Arial"/>
          <w:color w:val="222222"/>
          <w:shd w:val="clear" w:color="auto" w:fill="FFFFFF"/>
        </w:rPr>
      </w:pPr>
    </w:p>
    <w:p w14:paraId="060AE680" w14:textId="77777777" w:rsidR="0025625E" w:rsidRDefault="0025625E" w:rsidP="00443C6B">
      <w:pPr>
        <w:spacing w:before="0" w:after="0" w:line="20" w:lineRule="atLeast"/>
      </w:pPr>
      <w:r>
        <w:t xml:space="preserve">Carr, A., Duff, H., Craddock, F. (2018). A systematic review of the outcome of child abuse in </w:t>
      </w:r>
    </w:p>
    <w:p w14:paraId="6B3962C9" w14:textId="77777777" w:rsidR="0025625E" w:rsidRDefault="0025625E" w:rsidP="00443C6B">
      <w:pPr>
        <w:spacing w:before="0" w:after="0" w:line="20" w:lineRule="atLeast"/>
        <w:ind w:firstLine="720"/>
      </w:pPr>
      <w:r>
        <w:t xml:space="preserve">long-term care. </w:t>
      </w:r>
      <w:r>
        <w:rPr>
          <w:i/>
          <w:iCs/>
        </w:rPr>
        <w:t>Trauma, Violence, &amp; Abuse</w:t>
      </w:r>
      <w:r>
        <w:t xml:space="preserve">, 21(4). </w:t>
      </w:r>
    </w:p>
    <w:p w14:paraId="138FB242" w14:textId="77777777" w:rsidR="0025625E" w:rsidRDefault="0025625E" w:rsidP="00443C6B">
      <w:pPr>
        <w:spacing w:before="0" w:after="0" w:line="20" w:lineRule="atLeast"/>
        <w:ind w:firstLine="720"/>
      </w:pPr>
    </w:p>
    <w:p w14:paraId="0AB63D8F" w14:textId="77777777" w:rsidR="0025625E" w:rsidRDefault="0025625E" w:rsidP="00443C6B">
      <w:pPr>
        <w:spacing w:before="0" w:after="0" w:line="20" w:lineRule="atLeast"/>
        <w:rPr>
          <w:rFonts w:cs="Arial"/>
          <w:color w:val="222222"/>
          <w:shd w:val="clear" w:color="auto" w:fill="FFFFFF"/>
        </w:rPr>
      </w:pPr>
      <w:r>
        <w:rPr>
          <w:rFonts w:cs="Arial"/>
          <w:color w:val="222222"/>
          <w:shd w:val="clear" w:color="auto" w:fill="FFFFFF"/>
        </w:rPr>
        <w:t xml:space="preserve">Chambers, R., Crutchfield, R., Willis, T., Cuza, H., Otero, A., Harper, S., Carmichael, H. (2018). </w:t>
      </w:r>
    </w:p>
    <w:p w14:paraId="0C64578A" w14:textId="77777777" w:rsidR="0025625E" w:rsidRDefault="0025625E" w:rsidP="00443C6B">
      <w:pPr>
        <w:spacing w:before="0" w:after="0" w:line="20" w:lineRule="atLeast"/>
        <w:ind w:left="720"/>
        <w:rPr>
          <w:rFonts w:cs="Arial"/>
          <w:color w:val="222222"/>
          <w:shd w:val="clear" w:color="auto" w:fill="FFFFFF"/>
        </w:rPr>
      </w:pPr>
      <w:r>
        <w:rPr>
          <w:rFonts w:cs="Arial"/>
          <w:color w:val="222222"/>
          <w:shd w:val="clear" w:color="auto" w:fill="FFFFFF"/>
        </w:rPr>
        <w:t xml:space="preserve">It’s just not right to move a kid that many times:” A qualitative study of how foster care alumni perceive placement moves. </w:t>
      </w:r>
      <w:r>
        <w:rPr>
          <w:rFonts w:cs="Arial"/>
          <w:i/>
          <w:iCs/>
          <w:color w:val="222222"/>
          <w:shd w:val="clear" w:color="auto" w:fill="FFFFFF"/>
        </w:rPr>
        <w:t>Children and Youth Services Review</w:t>
      </w:r>
      <w:r>
        <w:rPr>
          <w:rFonts w:cs="Arial"/>
          <w:color w:val="222222"/>
          <w:shd w:val="clear" w:color="auto" w:fill="FFFFFF"/>
        </w:rPr>
        <w:t xml:space="preserve">, 86, 76-83. </w:t>
      </w:r>
    </w:p>
    <w:p w14:paraId="007F12A4" w14:textId="77777777" w:rsidR="0025625E" w:rsidRPr="00BB1B88" w:rsidRDefault="0025625E" w:rsidP="00443C6B">
      <w:pPr>
        <w:spacing w:before="0" w:after="0" w:line="20" w:lineRule="atLeast"/>
        <w:ind w:left="720"/>
        <w:rPr>
          <w:rFonts w:cs="Arial"/>
          <w:color w:val="222222"/>
          <w:shd w:val="clear" w:color="auto" w:fill="FFFFFF"/>
        </w:rPr>
      </w:pPr>
    </w:p>
    <w:p w14:paraId="25FAD853" w14:textId="77777777" w:rsidR="0025625E" w:rsidRDefault="0025625E" w:rsidP="00443C6B">
      <w:pPr>
        <w:spacing w:before="0" w:after="0" w:line="20" w:lineRule="atLeast"/>
      </w:pPr>
      <w:r>
        <w:t xml:space="preserve">Children's Bureau, U.S. Department of Health and Human Services (2016).  </w:t>
      </w:r>
      <w:r w:rsidRPr="00BB1B88">
        <w:t xml:space="preserve">Child and </w:t>
      </w:r>
      <w:r>
        <w:t>f</w:t>
      </w:r>
      <w:r w:rsidRPr="00BB1B88">
        <w:t xml:space="preserve">amily </w:t>
      </w:r>
    </w:p>
    <w:p w14:paraId="2349AB37" w14:textId="77777777" w:rsidR="0025625E" w:rsidRDefault="0025625E" w:rsidP="00443C6B">
      <w:pPr>
        <w:spacing w:before="0" w:after="0" w:line="20" w:lineRule="atLeast"/>
        <w:ind w:left="720"/>
        <w:rPr>
          <w:rStyle w:val="Hyperlink"/>
        </w:rPr>
      </w:pPr>
      <w:r>
        <w:t>s</w:t>
      </w:r>
      <w:r w:rsidRPr="00BB1B88">
        <w:t xml:space="preserve">ervices </w:t>
      </w:r>
      <w:r>
        <w:t>r</w:t>
      </w:r>
      <w:r w:rsidRPr="00BB1B88">
        <w:t xml:space="preserve">eviews:  Onsite </w:t>
      </w:r>
      <w:r>
        <w:t>r</w:t>
      </w:r>
      <w:r w:rsidRPr="00BB1B88">
        <w:t xml:space="preserve">eview </w:t>
      </w:r>
      <w:r>
        <w:t>i</w:t>
      </w:r>
      <w:r w:rsidRPr="00BB1B88">
        <w:t xml:space="preserve">nstrument and </w:t>
      </w:r>
      <w:r>
        <w:t>i</w:t>
      </w:r>
      <w:r w:rsidRPr="00BB1B88">
        <w:t>nstructions</w:t>
      </w:r>
      <w:r w:rsidRPr="00F84CCE">
        <w:rPr>
          <w:i/>
          <w:iCs/>
        </w:rPr>
        <w:t>.</w:t>
      </w:r>
      <w:r>
        <w:t xml:space="preserve">  Washington, DC:  Author.  Retrieved from: </w:t>
      </w:r>
      <w:hyperlink r:id="rId21" w:history="1">
        <w:r>
          <w:rPr>
            <w:rStyle w:val="Hyperlink"/>
          </w:rPr>
          <w:t>https://www.acf.hhs.gov/cb/resource/cfsr-round3-onsite-review-instrument</w:t>
        </w:r>
      </w:hyperlink>
    </w:p>
    <w:p w14:paraId="5C3A31C3" w14:textId="77777777" w:rsidR="0025625E" w:rsidRDefault="0025625E" w:rsidP="00443C6B">
      <w:pPr>
        <w:spacing w:before="0" w:after="0" w:line="20" w:lineRule="atLeast"/>
        <w:ind w:left="720"/>
        <w:rPr>
          <w:rStyle w:val="Hyperlink"/>
        </w:rPr>
      </w:pPr>
    </w:p>
    <w:p w14:paraId="3F93E0B1" w14:textId="77777777" w:rsidR="0025625E" w:rsidRDefault="0025625E" w:rsidP="00443C6B">
      <w:pPr>
        <w:spacing w:before="0" w:after="0" w:line="20" w:lineRule="atLeast"/>
      </w:pPr>
      <w:r>
        <w:t xml:space="preserve">Children’s Bureau, U.S. Department of Health &amp; Human Services (2018). </w:t>
      </w:r>
      <w:r w:rsidRPr="00BB1B88">
        <w:t xml:space="preserve">Child </w:t>
      </w:r>
      <w:r>
        <w:t>p</w:t>
      </w:r>
      <w:r w:rsidRPr="00BB1B88">
        <w:t xml:space="preserve">rotective </w:t>
      </w:r>
    </w:p>
    <w:p w14:paraId="271FB62D" w14:textId="77777777" w:rsidR="0025625E" w:rsidRDefault="0025625E" w:rsidP="00443C6B">
      <w:pPr>
        <w:spacing w:before="0" w:after="0" w:line="20" w:lineRule="atLeast"/>
        <w:ind w:left="720"/>
      </w:pPr>
      <w:r>
        <w:t>s</w:t>
      </w:r>
      <w:r w:rsidRPr="00BB1B88">
        <w:t xml:space="preserve">ervices: A </w:t>
      </w:r>
      <w:r>
        <w:t>g</w:t>
      </w:r>
      <w:r w:rsidRPr="00BB1B88">
        <w:t xml:space="preserve">uide for </w:t>
      </w:r>
      <w:r>
        <w:t>c</w:t>
      </w:r>
      <w:r w:rsidRPr="00BB1B88">
        <w:t>aseworkers</w:t>
      </w:r>
      <w:r w:rsidRPr="00111BE9">
        <w:rPr>
          <w:i/>
          <w:iCs/>
        </w:rPr>
        <w:t>.</w:t>
      </w:r>
      <w:r>
        <w:t xml:space="preserve"> Washington, DC:  Author.  Retrieved from: </w:t>
      </w:r>
    </w:p>
    <w:p w14:paraId="069CA7F4" w14:textId="77777777" w:rsidR="0025625E" w:rsidRDefault="00000000" w:rsidP="00443C6B">
      <w:pPr>
        <w:spacing w:before="0" w:after="0" w:line="20" w:lineRule="atLeast"/>
        <w:ind w:left="720"/>
      </w:pPr>
      <w:hyperlink r:id="rId22" w:history="1">
        <w:r w:rsidR="0025625E" w:rsidRPr="003A02E2">
          <w:rPr>
            <w:rStyle w:val="Hyperlink"/>
          </w:rPr>
          <w:t>https://www.childwelfare.gov/pubPDFs/cps2018.pdf</w:t>
        </w:r>
      </w:hyperlink>
      <w:r w:rsidR="0025625E">
        <w:t>.</w:t>
      </w:r>
    </w:p>
    <w:p w14:paraId="42E3F9AE" w14:textId="77777777" w:rsidR="0025625E" w:rsidRDefault="0025625E" w:rsidP="00443C6B">
      <w:pPr>
        <w:spacing w:before="0" w:after="0" w:line="20" w:lineRule="atLeast"/>
        <w:ind w:left="720"/>
      </w:pPr>
    </w:p>
    <w:p w14:paraId="3EEE7156" w14:textId="77777777" w:rsidR="0025625E" w:rsidRDefault="0025625E" w:rsidP="00443C6B">
      <w:pPr>
        <w:spacing w:before="0" w:after="0" w:line="20" w:lineRule="atLeast"/>
      </w:pPr>
      <w:r>
        <w:t xml:space="preserve">Children’s Bureau, U.S. Department of Health &amp; Human Services (2017). </w:t>
      </w:r>
      <w:r w:rsidRPr="00BB1B88">
        <w:t xml:space="preserve">Quality </w:t>
      </w:r>
      <w:r>
        <w:t>m</w:t>
      </w:r>
      <w:r w:rsidRPr="00BB1B88">
        <w:t xml:space="preserve">atters: </w:t>
      </w:r>
    </w:p>
    <w:p w14:paraId="5C7EC403" w14:textId="77777777" w:rsidR="0025625E" w:rsidRDefault="0025625E" w:rsidP="00443C6B">
      <w:pPr>
        <w:spacing w:before="0" w:after="0" w:line="20" w:lineRule="atLeast"/>
        <w:ind w:left="720"/>
      </w:pPr>
      <w:r>
        <w:lastRenderedPageBreak/>
        <w:t>i</w:t>
      </w:r>
      <w:r w:rsidRPr="00BB1B88">
        <w:t xml:space="preserve">mproving </w:t>
      </w:r>
      <w:r>
        <w:t>c</w:t>
      </w:r>
      <w:r w:rsidRPr="00BB1B88">
        <w:t xml:space="preserve">aseworker </w:t>
      </w:r>
      <w:r>
        <w:t>c</w:t>
      </w:r>
      <w:r w:rsidRPr="00BB1B88">
        <w:t xml:space="preserve">ontacts with </w:t>
      </w:r>
      <w:r>
        <w:t>c</w:t>
      </w:r>
      <w:r w:rsidRPr="00BB1B88">
        <w:t xml:space="preserve">hildren, </w:t>
      </w:r>
      <w:r>
        <w:t>y</w:t>
      </w:r>
      <w:r w:rsidRPr="00BB1B88">
        <w:t xml:space="preserve">outh, and </w:t>
      </w:r>
      <w:r>
        <w:t>f</w:t>
      </w:r>
      <w:r w:rsidRPr="00BB1B88">
        <w:t>amilies</w:t>
      </w:r>
      <w:r>
        <w:rPr>
          <w:i/>
          <w:iCs/>
        </w:rPr>
        <w:t xml:space="preserve">. </w:t>
      </w:r>
      <w:r>
        <w:t xml:space="preserve">Retrieved from: </w:t>
      </w:r>
      <w:hyperlink r:id="rId23" w:history="1">
        <w:r w:rsidRPr="003A02E2">
          <w:rPr>
            <w:rStyle w:val="Hyperlink"/>
          </w:rPr>
          <w:t>https://capacity.childwelfare.gov/states/resources/quality-worker-parent-visits-tip-sheet/</w:t>
        </w:r>
      </w:hyperlink>
      <w:r>
        <w:t>.</w:t>
      </w:r>
    </w:p>
    <w:p w14:paraId="063283C8" w14:textId="77777777" w:rsidR="0025625E" w:rsidRPr="00BB1B88" w:rsidRDefault="0025625E" w:rsidP="00443C6B">
      <w:pPr>
        <w:spacing w:before="0" w:after="0" w:line="20" w:lineRule="atLeast"/>
        <w:ind w:left="720"/>
        <w:rPr>
          <w:rStyle w:val="Hyperlink"/>
        </w:rPr>
      </w:pPr>
    </w:p>
    <w:p w14:paraId="5AF63738" w14:textId="77777777" w:rsidR="0025625E" w:rsidRDefault="0025625E" w:rsidP="00443C6B">
      <w:pPr>
        <w:spacing w:before="0" w:after="0" w:line="20" w:lineRule="atLeast"/>
      </w:pPr>
      <w:r>
        <w:t xml:space="preserve">Cole, Mary Ann, Caron, Sandra. (2010). </w:t>
      </w:r>
      <w:r w:rsidRPr="00CF3A97">
        <w:t xml:space="preserve">Exploring </w:t>
      </w:r>
      <w:r>
        <w:t>f</w:t>
      </w:r>
      <w:r w:rsidRPr="00CF3A97">
        <w:t xml:space="preserve">actors </w:t>
      </w:r>
      <w:r>
        <w:t>w</w:t>
      </w:r>
      <w:r w:rsidRPr="00CF3A97">
        <w:t xml:space="preserve">hich </w:t>
      </w:r>
      <w:r>
        <w:t>l</w:t>
      </w:r>
      <w:r w:rsidRPr="00CF3A97">
        <w:t xml:space="preserve">ead to </w:t>
      </w:r>
      <w:r>
        <w:t>s</w:t>
      </w:r>
      <w:r w:rsidRPr="00CF3A97">
        <w:t xml:space="preserve">uccessful </w:t>
      </w:r>
      <w:r>
        <w:t>r</w:t>
      </w:r>
      <w:r w:rsidRPr="00CF3A97">
        <w:t xml:space="preserve">eunification </w:t>
      </w:r>
    </w:p>
    <w:p w14:paraId="32B13596" w14:textId="77777777" w:rsidR="0025625E" w:rsidRDefault="0025625E" w:rsidP="00443C6B">
      <w:pPr>
        <w:spacing w:before="0" w:after="0" w:line="20" w:lineRule="atLeast"/>
        <w:ind w:left="720"/>
      </w:pPr>
      <w:r w:rsidRPr="00CF3A97">
        <w:t xml:space="preserve">in </w:t>
      </w:r>
      <w:r>
        <w:t>d</w:t>
      </w:r>
      <w:r w:rsidRPr="00CF3A97">
        <w:t xml:space="preserve">omestic </w:t>
      </w:r>
      <w:r>
        <w:t>v</w:t>
      </w:r>
      <w:r w:rsidRPr="00CF3A97">
        <w:t xml:space="preserve">iolence </w:t>
      </w:r>
      <w:r>
        <w:t>c</w:t>
      </w:r>
      <w:r w:rsidRPr="00CF3A97">
        <w:t xml:space="preserve">ases: Interviews with </w:t>
      </w:r>
      <w:r>
        <w:t>c</w:t>
      </w:r>
      <w:r w:rsidRPr="00CF3A97">
        <w:t>aseworke</w:t>
      </w:r>
      <w:r w:rsidRPr="00CF3A97">
        <w:rPr>
          <w:i/>
          <w:iCs/>
        </w:rPr>
        <w:t>rs. Journal of Family Violence 25</w:t>
      </w:r>
      <w:r>
        <w:t>, 297-310.</w:t>
      </w:r>
    </w:p>
    <w:p w14:paraId="536197F4" w14:textId="77777777" w:rsidR="0025625E" w:rsidRDefault="0025625E" w:rsidP="00443C6B">
      <w:pPr>
        <w:spacing w:before="0" w:after="0" w:line="20" w:lineRule="atLeast"/>
        <w:ind w:left="720"/>
      </w:pPr>
    </w:p>
    <w:p w14:paraId="620F4B06" w14:textId="77777777" w:rsidR="0025625E" w:rsidRDefault="0025625E" w:rsidP="00443C6B">
      <w:pPr>
        <w:spacing w:before="0" w:after="0" w:line="20" w:lineRule="atLeast"/>
      </w:pPr>
      <w:r>
        <w:t xml:space="preserve">Cohen, S. (2017). </w:t>
      </w:r>
      <w:r w:rsidRPr="00BB1B88">
        <w:t xml:space="preserve">Three </w:t>
      </w:r>
      <w:r>
        <w:t>p</w:t>
      </w:r>
      <w:r w:rsidRPr="00BB1B88">
        <w:t xml:space="preserve">rinciples to </w:t>
      </w:r>
      <w:r>
        <w:t>i</w:t>
      </w:r>
      <w:r w:rsidRPr="00BB1B88">
        <w:t xml:space="preserve">mprove </w:t>
      </w:r>
      <w:r>
        <w:t>o</w:t>
      </w:r>
      <w:r w:rsidRPr="00BB1B88">
        <w:t>utcome</w:t>
      </w:r>
      <w:r>
        <w:t>s</w:t>
      </w:r>
      <w:r w:rsidRPr="00BB1B88">
        <w:t xml:space="preserve"> for </w:t>
      </w:r>
      <w:r>
        <w:t>c</w:t>
      </w:r>
      <w:r w:rsidRPr="00BB1B88">
        <w:t xml:space="preserve">hildren and </w:t>
      </w:r>
      <w:r>
        <w:t>f</w:t>
      </w:r>
      <w:r w:rsidRPr="00BB1B88">
        <w:t xml:space="preserve">amilies: Science to </w:t>
      </w:r>
    </w:p>
    <w:p w14:paraId="7FBE07C8" w14:textId="77777777" w:rsidR="0025625E" w:rsidRDefault="0025625E" w:rsidP="00443C6B">
      <w:pPr>
        <w:spacing w:before="0" w:after="0" w:line="20" w:lineRule="atLeast"/>
        <w:ind w:firstLine="720"/>
      </w:pPr>
      <w:r>
        <w:t>p</w:t>
      </w:r>
      <w:r w:rsidRPr="00BB1B88">
        <w:t xml:space="preserve">olicy and </w:t>
      </w:r>
      <w:r>
        <w:t>p</w:t>
      </w:r>
      <w:r w:rsidRPr="00BB1B88">
        <w:t>ractice.</w:t>
      </w:r>
      <w:r>
        <w:t xml:space="preserve"> </w:t>
      </w:r>
      <w:r w:rsidRPr="00BB1B88">
        <w:rPr>
          <w:i/>
          <w:iCs/>
        </w:rPr>
        <w:t>Harvard University Center on the Developing Child</w:t>
      </w:r>
      <w:r>
        <w:t xml:space="preserve">. </w:t>
      </w:r>
    </w:p>
    <w:p w14:paraId="383D855C" w14:textId="77777777" w:rsidR="0025625E" w:rsidRDefault="0025625E" w:rsidP="00443C6B">
      <w:pPr>
        <w:spacing w:before="0" w:after="0" w:line="20" w:lineRule="atLeast"/>
        <w:ind w:firstLine="720"/>
      </w:pPr>
    </w:p>
    <w:p w14:paraId="2B31DE15" w14:textId="77777777" w:rsidR="0025625E" w:rsidRDefault="0025625E" w:rsidP="00443C6B">
      <w:pPr>
        <w:spacing w:before="0" w:after="0" w:line="20" w:lineRule="atLeast"/>
      </w:pPr>
      <w:r w:rsidRPr="00103676">
        <w:t xml:space="preserve">D'Aunno, Lisa E.; Boel-Studt, Shamra; and Landsman, Miriam J. (2014).  Evidence-based </w:t>
      </w:r>
    </w:p>
    <w:p w14:paraId="3321A64B" w14:textId="77777777" w:rsidR="0025625E" w:rsidRDefault="0025625E" w:rsidP="00443C6B">
      <w:pPr>
        <w:spacing w:before="0" w:after="0" w:line="20" w:lineRule="atLeast"/>
        <w:ind w:left="720"/>
        <w:rPr>
          <w:color w:val="316190"/>
        </w:rPr>
      </w:pPr>
      <w:r w:rsidRPr="00103676">
        <w:t xml:space="preserve">elements of child welfare in-home services.  </w:t>
      </w:r>
      <w:r w:rsidRPr="00103676">
        <w:rPr>
          <w:i/>
          <w:iCs/>
        </w:rPr>
        <w:t>Journal of Family Strengths, 14(1)</w:t>
      </w:r>
      <w:r w:rsidRPr="00103676">
        <w:t xml:space="preserve">. </w:t>
      </w:r>
      <w:r>
        <w:t>Retrieved from</w:t>
      </w:r>
      <w:r w:rsidRPr="00103676">
        <w:t xml:space="preserve">: </w:t>
      </w:r>
      <w:hyperlink r:id="rId24" w:history="1">
        <w:r w:rsidRPr="003A02E2">
          <w:rPr>
            <w:rStyle w:val="Hyperlink"/>
          </w:rPr>
          <w:t>https://digitalcommons.library.tmc.edu/jfs/vol14/iss1/3</w:t>
        </w:r>
      </w:hyperlink>
      <w:r w:rsidRPr="00103676">
        <w:rPr>
          <w:color w:val="316190"/>
        </w:rPr>
        <w:t xml:space="preserve"> </w:t>
      </w:r>
    </w:p>
    <w:p w14:paraId="2CF55CD8" w14:textId="77777777" w:rsidR="0025625E" w:rsidRDefault="0025625E" w:rsidP="00443C6B">
      <w:pPr>
        <w:spacing w:before="0" w:after="0" w:line="20" w:lineRule="atLeast"/>
        <w:ind w:left="720"/>
        <w:rPr>
          <w:color w:val="316190"/>
        </w:rPr>
      </w:pPr>
    </w:p>
    <w:p w14:paraId="5BF79CE3" w14:textId="77777777" w:rsidR="0025625E" w:rsidRDefault="0025625E" w:rsidP="00443C6B">
      <w:pPr>
        <w:spacing w:before="0" w:after="0" w:line="20" w:lineRule="atLeast"/>
      </w:pPr>
      <w:r>
        <w:t xml:space="preserve">Davies, N., Dickson, M., Smith, G., van den Berg, G., Windmeijer, F. (2018). The causal effects </w:t>
      </w:r>
    </w:p>
    <w:p w14:paraId="454AA92D" w14:textId="77777777" w:rsidR="0025625E" w:rsidRDefault="0025625E" w:rsidP="00443C6B">
      <w:pPr>
        <w:spacing w:before="0" w:after="0" w:line="20" w:lineRule="atLeast"/>
        <w:ind w:left="720"/>
      </w:pPr>
      <w:r>
        <w:t xml:space="preserve">of education on health outcomes in the UK Biobank. </w:t>
      </w:r>
      <w:r>
        <w:rPr>
          <w:i/>
          <w:iCs/>
        </w:rPr>
        <w:t xml:space="preserve">Nature Human Behaviour, </w:t>
      </w:r>
      <w:r>
        <w:t xml:space="preserve">2: 117-125. </w:t>
      </w:r>
    </w:p>
    <w:p w14:paraId="5C48EEB9" w14:textId="77777777" w:rsidR="0025625E" w:rsidRPr="00BB1B88" w:rsidRDefault="0025625E" w:rsidP="00443C6B">
      <w:pPr>
        <w:spacing w:before="0" w:after="0" w:line="20" w:lineRule="atLeast"/>
        <w:ind w:left="720"/>
      </w:pPr>
    </w:p>
    <w:p w14:paraId="74FB2511" w14:textId="77777777" w:rsidR="0025625E" w:rsidRDefault="0025625E" w:rsidP="00443C6B">
      <w:pPr>
        <w:spacing w:before="0" w:after="0" w:line="20" w:lineRule="atLeast"/>
      </w:pPr>
      <w:r>
        <w:t xml:space="preserve">Department of Health and Human Services (2012). </w:t>
      </w:r>
      <w:r w:rsidRPr="00BB1B88">
        <w:t xml:space="preserve">Engaging </w:t>
      </w:r>
      <w:r>
        <w:t>f</w:t>
      </w:r>
      <w:r w:rsidRPr="00BB1B88">
        <w:t xml:space="preserve">amilies in </w:t>
      </w:r>
      <w:r>
        <w:t>c</w:t>
      </w:r>
      <w:r w:rsidRPr="00BB1B88">
        <w:t xml:space="preserve">ase </w:t>
      </w:r>
      <w:r>
        <w:t>p</w:t>
      </w:r>
      <w:r w:rsidRPr="00BB1B88">
        <w:t>lanning</w:t>
      </w:r>
      <w:r>
        <w:t xml:space="preserve">.  </w:t>
      </w:r>
    </w:p>
    <w:p w14:paraId="61C9F2A9" w14:textId="77777777" w:rsidR="0025625E" w:rsidRDefault="0025625E" w:rsidP="00443C6B">
      <w:pPr>
        <w:spacing w:before="0" w:after="0" w:line="20" w:lineRule="atLeast"/>
        <w:ind w:firstLine="720"/>
        <w:rPr>
          <w:rStyle w:val="Hyperlink"/>
        </w:rPr>
      </w:pPr>
      <w:r>
        <w:t xml:space="preserve">Retrieved from: </w:t>
      </w:r>
      <w:hyperlink r:id="rId25" w:history="1">
        <w:r>
          <w:rPr>
            <w:rStyle w:val="Hyperlink"/>
          </w:rPr>
          <w:t>http://www.mikid.org/wp-content/uploads/2016/11/engaging_families.pdf</w:t>
        </w:r>
      </w:hyperlink>
    </w:p>
    <w:p w14:paraId="1B6F3668" w14:textId="77777777" w:rsidR="0025625E" w:rsidRDefault="0025625E" w:rsidP="00443C6B">
      <w:pPr>
        <w:spacing w:before="0" w:after="0" w:line="20" w:lineRule="atLeast"/>
        <w:ind w:firstLine="720"/>
      </w:pPr>
    </w:p>
    <w:p w14:paraId="1486F4AC" w14:textId="77777777" w:rsidR="0025625E" w:rsidRDefault="0025625E" w:rsidP="00443C6B">
      <w:pPr>
        <w:spacing w:before="0" w:after="0" w:line="20" w:lineRule="atLeast"/>
      </w:pPr>
      <w:r w:rsidRPr="004F2148">
        <w:t xml:space="preserve">Donelan-McCall, Nancy &amp; Eckenrode, John &amp; Olds, David. (2009). </w:t>
      </w:r>
      <w:r>
        <w:t xml:space="preserve"> </w:t>
      </w:r>
      <w:r w:rsidRPr="004F2148">
        <w:t xml:space="preserve">Home visiting for the </w:t>
      </w:r>
    </w:p>
    <w:p w14:paraId="18652980" w14:textId="77777777" w:rsidR="0025625E" w:rsidRDefault="0025625E" w:rsidP="00443C6B">
      <w:pPr>
        <w:spacing w:before="0" w:after="0" w:line="20" w:lineRule="atLeast"/>
        <w:ind w:left="720"/>
        <w:rPr>
          <w:color w:val="0000FF"/>
          <w:u w:val="single"/>
        </w:rPr>
      </w:pPr>
      <w:r w:rsidRPr="004F2148">
        <w:t xml:space="preserve">prevention of child maltreatment: </w:t>
      </w:r>
      <w:r>
        <w:t>L</w:t>
      </w:r>
      <w:r w:rsidRPr="004F2148">
        <w:t>essons learned during the past 20 years.</w:t>
      </w:r>
      <w:r>
        <w:t xml:space="preserve"> </w:t>
      </w:r>
      <w:r w:rsidRPr="004F2148">
        <w:t xml:space="preserve"> </w:t>
      </w:r>
      <w:r w:rsidRPr="004F2148">
        <w:rPr>
          <w:i/>
          <w:iCs/>
        </w:rPr>
        <w:t xml:space="preserve">Pediatric </w:t>
      </w:r>
      <w:r>
        <w:rPr>
          <w:i/>
          <w:iCs/>
        </w:rPr>
        <w:t>C</w:t>
      </w:r>
      <w:r w:rsidRPr="004F2148">
        <w:rPr>
          <w:i/>
          <w:iCs/>
        </w:rPr>
        <w:t>linics of North America</w:t>
      </w:r>
      <w:r>
        <w:rPr>
          <w:i/>
          <w:iCs/>
        </w:rPr>
        <w:t>,</w:t>
      </w:r>
      <w:r w:rsidRPr="004F2148">
        <w:rPr>
          <w:i/>
          <w:iCs/>
        </w:rPr>
        <w:t xml:space="preserve"> 56</w:t>
      </w:r>
      <w:r w:rsidRPr="004F2148">
        <w:t xml:space="preserve">. 389-403. 10.1016/j.pcl.2009.01.002. </w:t>
      </w:r>
      <w:r>
        <w:t xml:space="preserve">Retrieved from: </w:t>
      </w:r>
      <w:hyperlink r:id="rId26" w:history="1">
        <w:r w:rsidRPr="00F736ED">
          <w:rPr>
            <w:color w:val="0000FF"/>
            <w:u w:val="single"/>
          </w:rPr>
          <w:t>https://www.researchgate.net/publication/24270530_Home_Visiting_for_the_Prevention_of_Child_Maltreatment_Lessons_Learned_During_the_Past_20_Years</w:t>
        </w:r>
      </w:hyperlink>
    </w:p>
    <w:p w14:paraId="7BF5E41F" w14:textId="77777777" w:rsidR="0025625E" w:rsidRDefault="0025625E" w:rsidP="00443C6B">
      <w:pPr>
        <w:spacing w:before="0" w:after="0" w:line="20" w:lineRule="atLeast"/>
        <w:ind w:left="720"/>
        <w:rPr>
          <w:color w:val="0000FF"/>
          <w:u w:val="single"/>
        </w:rPr>
      </w:pPr>
    </w:p>
    <w:p w14:paraId="233D6430" w14:textId="77777777" w:rsidR="0025625E" w:rsidRDefault="0025625E" w:rsidP="00443C6B">
      <w:pPr>
        <w:spacing w:before="0" w:after="0" w:line="20" w:lineRule="atLeast"/>
      </w:pPr>
      <w:r>
        <w:t xml:space="preserve">Global Partnership for Education (2020). </w:t>
      </w:r>
      <w:r w:rsidRPr="00BB1B88">
        <w:t xml:space="preserve">The </w:t>
      </w:r>
      <w:r>
        <w:t>g</w:t>
      </w:r>
      <w:r w:rsidRPr="00BB1B88">
        <w:t xml:space="preserve">lobal </w:t>
      </w:r>
      <w:r>
        <w:t>p</w:t>
      </w:r>
      <w:r w:rsidRPr="00BB1B88">
        <w:t xml:space="preserve">artnership for </w:t>
      </w:r>
      <w:r>
        <w:t>e</w:t>
      </w:r>
      <w:r w:rsidRPr="00BB1B88">
        <w:t xml:space="preserve">ducation 2020 </w:t>
      </w:r>
      <w:r>
        <w:t>r</w:t>
      </w:r>
      <w:r w:rsidRPr="00BB1B88">
        <w:t>eport</w:t>
      </w:r>
      <w:r w:rsidRPr="00455775">
        <w:rPr>
          <w:i/>
          <w:iCs/>
        </w:rPr>
        <w:t>.</w:t>
      </w:r>
      <w:r>
        <w:t xml:space="preserve">  </w:t>
      </w:r>
    </w:p>
    <w:p w14:paraId="053940B6" w14:textId="77777777" w:rsidR="0025625E" w:rsidRDefault="0025625E" w:rsidP="00443C6B">
      <w:pPr>
        <w:spacing w:before="0" w:after="0" w:line="20" w:lineRule="atLeast"/>
        <w:ind w:firstLine="720"/>
      </w:pPr>
      <w:r>
        <w:t xml:space="preserve">Washington DC: </w:t>
      </w:r>
      <w:r w:rsidRPr="00BB1B88">
        <w:rPr>
          <w:i/>
          <w:iCs/>
        </w:rPr>
        <w:t>Global Partnership for Education</w:t>
      </w:r>
      <w:r>
        <w:t>.</w:t>
      </w:r>
    </w:p>
    <w:p w14:paraId="00742D3C" w14:textId="77777777" w:rsidR="0025625E" w:rsidRDefault="0025625E" w:rsidP="00443C6B">
      <w:pPr>
        <w:spacing w:before="0" w:after="0" w:line="20" w:lineRule="atLeast"/>
        <w:ind w:firstLine="720"/>
      </w:pPr>
    </w:p>
    <w:p w14:paraId="03F8033C" w14:textId="77777777" w:rsidR="0025625E" w:rsidRDefault="0025625E" w:rsidP="00443C6B">
      <w:pPr>
        <w:spacing w:before="0" w:after="0" w:line="20" w:lineRule="atLeast"/>
      </w:pPr>
      <w:r>
        <w:t xml:space="preserve">Griffin, S., Wei, L., Gooch, B., Weno, K., Esinoza, L. (2016). </w:t>
      </w:r>
      <w:r w:rsidRPr="00BB1B88">
        <w:t xml:space="preserve">Vital signs: </w:t>
      </w:r>
      <w:r>
        <w:t>d</w:t>
      </w:r>
      <w:r w:rsidRPr="00BB1B88">
        <w:t xml:space="preserve">ental sealant use and </w:t>
      </w:r>
    </w:p>
    <w:p w14:paraId="5CA0BD42" w14:textId="77777777" w:rsidR="0025625E" w:rsidRDefault="0025625E" w:rsidP="00443C6B">
      <w:pPr>
        <w:spacing w:before="0" w:after="0" w:line="20" w:lineRule="atLeast"/>
        <w:ind w:firstLine="720"/>
      </w:pPr>
      <w:r w:rsidRPr="00BB1B88">
        <w:t>untreated tooth decay among U.S. school-aged children</w:t>
      </w:r>
      <w:r>
        <w:rPr>
          <w:i/>
          <w:iCs/>
        </w:rPr>
        <w:t>.</w:t>
      </w:r>
      <w:r>
        <w:t xml:space="preserve"> Centers for Disease Control </w:t>
      </w:r>
    </w:p>
    <w:p w14:paraId="1D89759D" w14:textId="77777777" w:rsidR="0025625E" w:rsidRDefault="0025625E" w:rsidP="00443C6B">
      <w:pPr>
        <w:spacing w:before="0" w:after="0" w:line="20" w:lineRule="atLeast"/>
        <w:ind w:firstLine="720"/>
      </w:pPr>
      <w:r>
        <w:t>and Prevention Morbidity and Mortality Weekly Report, 65(41); 1,141-1,145.</w:t>
      </w:r>
    </w:p>
    <w:p w14:paraId="3D71BA16" w14:textId="77777777" w:rsidR="0025625E" w:rsidRPr="00407AE4" w:rsidRDefault="0025625E" w:rsidP="00443C6B">
      <w:pPr>
        <w:spacing w:before="0" w:after="0" w:line="20" w:lineRule="atLeast"/>
        <w:ind w:firstLine="720"/>
      </w:pPr>
    </w:p>
    <w:p w14:paraId="4EFCC4B8" w14:textId="77777777" w:rsidR="0025625E" w:rsidRDefault="0025625E" w:rsidP="00443C6B">
      <w:pPr>
        <w:spacing w:before="0" w:after="0" w:line="20" w:lineRule="atLeast"/>
      </w:pPr>
      <w:r>
        <w:t xml:space="preserve">Grimm. B., &amp; Darwall, J. (2005).  </w:t>
      </w:r>
      <w:r w:rsidRPr="00407AE4">
        <w:t xml:space="preserve">Foster </w:t>
      </w:r>
      <w:r>
        <w:t>p</w:t>
      </w:r>
      <w:r w:rsidRPr="00407AE4">
        <w:t xml:space="preserve">arents:  Who are </w:t>
      </w:r>
      <w:r>
        <w:t>t</w:t>
      </w:r>
      <w:r w:rsidRPr="00407AE4">
        <w:t xml:space="preserve">hey and </w:t>
      </w:r>
      <w:r>
        <w:t>w</w:t>
      </w:r>
      <w:r w:rsidRPr="00407AE4">
        <w:t xml:space="preserve">hat are </w:t>
      </w:r>
      <w:r>
        <w:t>t</w:t>
      </w:r>
      <w:r w:rsidRPr="00407AE4">
        <w:t xml:space="preserve">heir </w:t>
      </w:r>
      <w:r>
        <w:t>m</w:t>
      </w:r>
      <w:r w:rsidRPr="00407AE4">
        <w:t>otivations?</w:t>
      </w:r>
      <w:r>
        <w:t xml:space="preserve">  </w:t>
      </w:r>
    </w:p>
    <w:p w14:paraId="5213A1CE" w14:textId="77777777" w:rsidR="0025625E" w:rsidRDefault="0025625E" w:rsidP="00443C6B">
      <w:pPr>
        <w:spacing w:before="0" w:after="0" w:line="20" w:lineRule="atLeast"/>
        <w:ind w:left="720"/>
      </w:pPr>
      <w:r w:rsidRPr="008840BE">
        <w:rPr>
          <w:i/>
          <w:iCs/>
        </w:rPr>
        <w:t>National Center on Youth Law</w:t>
      </w:r>
      <w:r>
        <w:t xml:space="preserve">.  Retrieved from: </w:t>
      </w:r>
      <w:hyperlink r:id="rId27" w:history="1">
        <w:r w:rsidRPr="003A02E2">
          <w:rPr>
            <w:rStyle w:val="Hyperlink"/>
          </w:rPr>
          <w:t>https://youthlaw.org/publication/foster-parents-who-are-they-and-what-are-their-motivations/</w:t>
        </w:r>
      </w:hyperlink>
    </w:p>
    <w:p w14:paraId="5633494E" w14:textId="77777777" w:rsidR="0025625E" w:rsidRDefault="0025625E" w:rsidP="00443C6B">
      <w:pPr>
        <w:spacing w:before="0" w:after="0" w:line="20" w:lineRule="atLeast"/>
        <w:ind w:left="720"/>
        <w:rPr>
          <w:rStyle w:val="Hyperlink"/>
        </w:rPr>
      </w:pPr>
    </w:p>
    <w:p w14:paraId="08901DA4" w14:textId="77777777" w:rsidR="0025625E" w:rsidRDefault="0025625E" w:rsidP="00443C6B">
      <w:pPr>
        <w:spacing w:before="0" w:after="0" w:line="20" w:lineRule="atLeast"/>
        <w:rPr>
          <w:rFonts w:cs="Arial"/>
          <w:color w:val="222222"/>
          <w:shd w:val="clear" w:color="auto" w:fill="FFFFFF"/>
        </w:rPr>
      </w:pPr>
      <w:r w:rsidRPr="00960479">
        <w:rPr>
          <w:rFonts w:cs="Arial"/>
          <w:color w:val="222222"/>
          <w:shd w:val="clear" w:color="auto" w:fill="FFFFFF"/>
        </w:rPr>
        <w:t xml:space="preserve">Gustavsson, N. S., &amp; MacEachron, A. E. (2010). Sibling connections and reasonable efforts in </w:t>
      </w:r>
    </w:p>
    <w:p w14:paraId="1BCDCA10" w14:textId="77777777" w:rsidR="0025625E" w:rsidRDefault="0025625E" w:rsidP="00443C6B">
      <w:pPr>
        <w:spacing w:before="0" w:after="0" w:line="20" w:lineRule="atLeast"/>
        <w:ind w:firstLine="720"/>
        <w:rPr>
          <w:rFonts w:cs="Arial"/>
          <w:color w:val="222222"/>
          <w:shd w:val="clear" w:color="auto" w:fill="FFFFFF"/>
        </w:rPr>
      </w:pPr>
      <w:r w:rsidRPr="00960479">
        <w:rPr>
          <w:rFonts w:cs="Arial"/>
          <w:color w:val="222222"/>
          <w:shd w:val="clear" w:color="auto" w:fill="FFFFFF"/>
        </w:rPr>
        <w:t xml:space="preserve">public child welfare. </w:t>
      </w:r>
      <w:r w:rsidRPr="00960479">
        <w:rPr>
          <w:rFonts w:cs="Arial"/>
          <w:i/>
          <w:iCs/>
          <w:color w:val="222222"/>
        </w:rPr>
        <w:t>Families in Society</w:t>
      </w:r>
      <w:r w:rsidRPr="00960479">
        <w:rPr>
          <w:rFonts w:cs="Arial"/>
          <w:color w:val="222222"/>
          <w:shd w:val="clear" w:color="auto" w:fill="FFFFFF"/>
        </w:rPr>
        <w:t xml:space="preserve">, </w:t>
      </w:r>
      <w:r w:rsidRPr="00960479">
        <w:rPr>
          <w:rFonts w:cs="Arial"/>
          <w:i/>
          <w:iCs/>
          <w:color w:val="222222"/>
        </w:rPr>
        <w:t>91</w:t>
      </w:r>
      <w:r w:rsidRPr="00960479">
        <w:rPr>
          <w:rFonts w:cs="Arial"/>
          <w:color w:val="222222"/>
          <w:shd w:val="clear" w:color="auto" w:fill="FFFFFF"/>
        </w:rPr>
        <w:t>(1), 39-44.</w:t>
      </w:r>
    </w:p>
    <w:p w14:paraId="40CD851B" w14:textId="77777777" w:rsidR="0025625E" w:rsidRPr="00E15BC8" w:rsidRDefault="0025625E" w:rsidP="00443C6B">
      <w:pPr>
        <w:spacing w:before="0" w:after="0" w:line="20" w:lineRule="atLeast"/>
        <w:ind w:firstLine="720"/>
        <w:rPr>
          <w:rStyle w:val="Hyperlink"/>
          <w:rFonts w:cs="Arial"/>
          <w:color w:val="222222"/>
          <w:shd w:val="clear" w:color="auto" w:fill="FFFFFF"/>
        </w:rPr>
      </w:pPr>
    </w:p>
    <w:p w14:paraId="2778269D" w14:textId="77777777" w:rsidR="0025625E" w:rsidRDefault="0025625E" w:rsidP="00443C6B">
      <w:pPr>
        <w:spacing w:before="0" w:after="0" w:line="20" w:lineRule="atLeast"/>
        <w:ind w:left="720"/>
      </w:pPr>
      <w:r>
        <w:t xml:space="preserve">Healy, K., &amp; Yellowlees, J. (2011). </w:t>
      </w:r>
      <w:r w:rsidRPr="000840ED">
        <w:t>Family participation in child protection practice: an observational study of family group meetings.</w:t>
      </w:r>
      <w:r w:rsidRPr="000840ED">
        <w:rPr>
          <w:i/>
          <w:iCs/>
        </w:rPr>
        <w:t xml:space="preserve"> Child &amp; Family Social Work, 17</w:t>
      </w:r>
      <w:r w:rsidRPr="000840ED">
        <w:t>(1).</w:t>
      </w:r>
      <w:r>
        <w:t xml:space="preserve"> </w:t>
      </w:r>
    </w:p>
    <w:p w14:paraId="476E2BA7" w14:textId="77777777" w:rsidR="0025625E" w:rsidRDefault="0025625E" w:rsidP="00443C6B">
      <w:pPr>
        <w:spacing w:before="0" w:after="0" w:line="20" w:lineRule="atLeast"/>
        <w:ind w:left="720"/>
      </w:pPr>
    </w:p>
    <w:p w14:paraId="688D7E9B" w14:textId="77777777" w:rsidR="0025625E" w:rsidRDefault="0025625E" w:rsidP="00443C6B">
      <w:pPr>
        <w:spacing w:before="0" w:after="0" w:line="20" w:lineRule="atLeast"/>
        <w:rPr>
          <w:rFonts w:cs="Arial"/>
          <w:shd w:val="clear" w:color="auto" w:fill="FFFFFF"/>
        </w:rPr>
      </w:pPr>
      <w:r w:rsidRPr="00960479">
        <w:rPr>
          <w:rFonts w:cs="Arial"/>
          <w:shd w:val="clear" w:color="auto" w:fill="FFFFFF"/>
        </w:rPr>
        <w:t>James, Sigrid et al.</w:t>
      </w:r>
      <w:r>
        <w:rPr>
          <w:rFonts w:cs="Arial"/>
          <w:shd w:val="clear" w:color="auto" w:fill="FFFFFF"/>
        </w:rPr>
        <w:t xml:space="preserve"> (2008). </w:t>
      </w:r>
      <w:r w:rsidRPr="00960479">
        <w:rPr>
          <w:rFonts w:cs="Arial"/>
          <w:shd w:val="clear" w:color="auto" w:fill="FFFFFF"/>
        </w:rPr>
        <w:t>Maintaining</w:t>
      </w:r>
      <w:r>
        <w:rPr>
          <w:rFonts w:cs="Arial"/>
          <w:shd w:val="clear" w:color="auto" w:fill="FFFFFF"/>
        </w:rPr>
        <w:t xml:space="preserve"> Sibling Relationships for Children in Foster and </w:t>
      </w:r>
    </w:p>
    <w:p w14:paraId="173EF174" w14:textId="77777777" w:rsidR="0025625E" w:rsidRPr="00E15BC8" w:rsidRDefault="0025625E" w:rsidP="00443C6B">
      <w:pPr>
        <w:spacing w:before="0" w:after="0" w:line="20" w:lineRule="atLeast"/>
        <w:ind w:firstLine="720"/>
        <w:rPr>
          <w:rStyle w:val="Hyperlink"/>
          <w:rFonts w:cs="Arial"/>
          <w:shd w:val="clear" w:color="auto" w:fill="FFFFFF"/>
        </w:rPr>
      </w:pPr>
      <w:r>
        <w:rPr>
          <w:rFonts w:cs="Arial"/>
          <w:shd w:val="clear" w:color="auto" w:fill="FFFFFF"/>
        </w:rPr>
        <w:t>Adoptive Placements. </w:t>
      </w:r>
      <w:r>
        <w:rPr>
          <w:rFonts w:cs="Arial"/>
          <w:i/>
          <w:iCs/>
          <w:shd w:val="clear" w:color="auto" w:fill="FFFFFF"/>
        </w:rPr>
        <w:t>Children and Youth Services Review</w:t>
      </w:r>
      <w:r>
        <w:rPr>
          <w:rFonts w:cs="Arial"/>
          <w:shd w:val="clear" w:color="auto" w:fill="FFFFFF"/>
        </w:rPr>
        <w:t>, 30,(1):90-106.</w:t>
      </w:r>
    </w:p>
    <w:p w14:paraId="64C1AD41" w14:textId="77777777" w:rsidR="0025625E" w:rsidRDefault="0025625E" w:rsidP="00443C6B">
      <w:pPr>
        <w:spacing w:before="0" w:after="0" w:line="20" w:lineRule="atLeast"/>
        <w:ind w:left="720"/>
        <w:rPr>
          <w:i/>
          <w:iCs/>
        </w:rPr>
      </w:pPr>
      <w:r>
        <w:t xml:space="preserve">Jedwab, M., Chatterjee, A., Shaw, T. (2018). </w:t>
      </w:r>
      <w:r>
        <w:rPr>
          <w:i/>
          <w:iCs/>
        </w:rPr>
        <w:t xml:space="preserve">Caseworkers’ insights and experiences </w:t>
      </w:r>
    </w:p>
    <w:p w14:paraId="752086B4" w14:textId="77777777" w:rsidR="0025625E" w:rsidRDefault="0025625E" w:rsidP="00443C6B">
      <w:pPr>
        <w:spacing w:before="0" w:after="0" w:line="20" w:lineRule="atLeast"/>
        <w:ind w:left="720"/>
      </w:pPr>
      <w:r>
        <w:rPr>
          <w:i/>
          <w:iCs/>
        </w:rPr>
        <w:t>with successful reunification.</w:t>
      </w:r>
      <w:r>
        <w:t xml:space="preserve"> Children and Youth Services Review, 84: 56-63.</w:t>
      </w:r>
    </w:p>
    <w:p w14:paraId="7BDC9D66" w14:textId="77777777" w:rsidR="0025625E" w:rsidRDefault="0025625E" w:rsidP="00443C6B">
      <w:pPr>
        <w:spacing w:before="0" w:after="0" w:line="20" w:lineRule="atLeast"/>
        <w:ind w:left="720"/>
      </w:pPr>
    </w:p>
    <w:p w14:paraId="598F558D" w14:textId="77777777" w:rsidR="0025625E" w:rsidRDefault="0025625E" w:rsidP="00443C6B">
      <w:pPr>
        <w:spacing w:before="0" w:after="0" w:line="20" w:lineRule="atLeast"/>
      </w:pPr>
      <w:r>
        <w:t xml:space="preserve">LaBrenz, C.A. &amp; Fong, Rowena (2016).  </w:t>
      </w:r>
      <w:r w:rsidRPr="00735DDF">
        <w:t xml:space="preserve">Outcomes of family centered meetings for families </w:t>
      </w:r>
    </w:p>
    <w:p w14:paraId="6AD1FA08" w14:textId="77777777" w:rsidR="0025625E" w:rsidRDefault="0025625E" w:rsidP="00443C6B">
      <w:pPr>
        <w:spacing w:before="0" w:after="0" w:line="20" w:lineRule="atLeast"/>
        <w:ind w:firstLine="720"/>
      </w:pPr>
      <w:r w:rsidRPr="00735DDF">
        <w:t>referred to Child Protective Services</w:t>
      </w:r>
      <w:r>
        <w:t xml:space="preserve">. </w:t>
      </w:r>
      <w:r w:rsidRPr="00735DDF">
        <w:rPr>
          <w:i/>
          <w:iCs/>
        </w:rPr>
        <w:t>Children and Youth Services Review, (71)</w:t>
      </w:r>
      <w:r>
        <w:t>, 93-102.</w:t>
      </w:r>
    </w:p>
    <w:p w14:paraId="1471EFC2" w14:textId="77777777" w:rsidR="0025625E" w:rsidRDefault="0025625E" w:rsidP="00443C6B">
      <w:pPr>
        <w:spacing w:before="0" w:after="0" w:line="20" w:lineRule="atLeast"/>
        <w:ind w:firstLine="720"/>
      </w:pPr>
    </w:p>
    <w:p w14:paraId="720799D9" w14:textId="77777777" w:rsidR="0025625E" w:rsidRDefault="0025625E" w:rsidP="00443C6B">
      <w:pPr>
        <w:spacing w:before="0" w:after="0" w:line="20" w:lineRule="atLeast"/>
      </w:pPr>
      <w:r w:rsidRPr="00572980">
        <w:t xml:space="preserve">Machisa, Mercilene &amp; Christofides, Nicola &amp; Jewkes, Rachel. (2016). Structural </w:t>
      </w:r>
      <w:r>
        <w:t>p</w:t>
      </w:r>
      <w:r w:rsidRPr="00572980">
        <w:t xml:space="preserve">athways </w:t>
      </w:r>
    </w:p>
    <w:p w14:paraId="28A618C3" w14:textId="77777777" w:rsidR="0025625E" w:rsidRDefault="0025625E" w:rsidP="00443C6B">
      <w:pPr>
        <w:spacing w:before="0" w:after="0" w:line="20" w:lineRule="atLeast"/>
        <w:ind w:left="720"/>
        <w:rPr>
          <w:rStyle w:val="Hyperlink"/>
        </w:rPr>
      </w:pPr>
      <w:r w:rsidRPr="00572980">
        <w:t xml:space="preserve">between </w:t>
      </w:r>
      <w:r>
        <w:t>c</w:t>
      </w:r>
      <w:r w:rsidRPr="00572980">
        <w:t xml:space="preserve">hild </w:t>
      </w:r>
      <w:r>
        <w:t>a</w:t>
      </w:r>
      <w:r w:rsidRPr="00572980">
        <w:t xml:space="preserve">buse, </w:t>
      </w:r>
      <w:r>
        <w:t>p</w:t>
      </w:r>
      <w:r w:rsidRPr="00572980">
        <w:t xml:space="preserve">oor </w:t>
      </w:r>
      <w:r>
        <w:t>m</w:t>
      </w:r>
      <w:r w:rsidRPr="00572980">
        <w:t xml:space="preserve">ental </w:t>
      </w:r>
      <w:r>
        <w:t>h</w:t>
      </w:r>
      <w:r w:rsidRPr="00572980">
        <w:t xml:space="preserve">ealth </w:t>
      </w:r>
      <w:r>
        <w:t>o</w:t>
      </w:r>
      <w:r w:rsidRPr="00572980">
        <w:t xml:space="preserve">utcomes and </w:t>
      </w:r>
      <w:r>
        <w:t>m</w:t>
      </w:r>
      <w:r w:rsidRPr="00572980">
        <w:t>ale-</w:t>
      </w:r>
      <w:r>
        <w:t>p</w:t>
      </w:r>
      <w:r w:rsidRPr="00572980">
        <w:t xml:space="preserve">erpetrated </w:t>
      </w:r>
      <w:r>
        <w:t>i</w:t>
      </w:r>
      <w:r w:rsidRPr="00572980">
        <w:t xml:space="preserve">ntimate </w:t>
      </w:r>
      <w:r>
        <w:t>p</w:t>
      </w:r>
      <w:r w:rsidRPr="00572980">
        <w:t xml:space="preserve">artner </w:t>
      </w:r>
      <w:r>
        <w:t>vi</w:t>
      </w:r>
      <w:r w:rsidRPr="00572980">
        <w:t xml:space="preserve">olence (IPV). </w:t>
      </w:r>
      <w:r w:rsidRPr="00AA0B6B">
        <w:rPr>
          <w:i/>
          <w:iCs/>
        </w:rPr>
        <w:t>PloS one. 11</w:t>
      </w:r>
      <w:r>
        <w:t>, Article</w:t>
      </w:r>
      <w:r w:rsidRPr="00572980">
        <w:t xml:space="preserve"> e0150986. 10.1371/journal.pone.0150986.</w:t>
      </w:r>
      <w:r>
        <w:t xml:space="preserve"> </w:t>
      </w:r>
      <w:r w:rsidRPr="00572980">
        <w:t xml:space="preserve"> </w:t>
      </w:r>
      <w:r>
        <w:t xml:space="preserve">Retrieved from:  </w:t>
      </w:r>
      <w:hyperlink r:id="rId28" w:history="1">
        <w:r>
          <w:rPr>
            <w:rStyle w:val="Hyperlink"/>
          </w:rPr>
          <w:t>https://www.researchgate.net/publication/298797315_Structural_Pathways_between_Child_Abuse_Poor_Mental_Health_Outcomes_and_Male-Perpetrated_Intimate_Partner_Violence_IPV</w:t>
        </w:r>
      </w:hyperlink>
    </w:p>
    <w:p w14:paraId="0710BF4B" w14:textId="77777777" w:rsidR="0025625E" w:rsidRPr="00E15BC8" w:rsidRDefault="0025625E" w:rsidP="00443C6B">
      <w:pPr>
        <w:spacing w:before="0" w:after="0" w:line="20" w:lineRule="atLeast"/>
        <w:ind w:left="720"/>
        <w:rPr>
          <w:color w:val="0563C1"/>
          <w:u w:val="single"/>
        </w:rPr>
      </w:pPr>
    </w:p>
    <w:p w14:paraId="28875A8B" w14:textId="77777777" w:rsidR="0025625E" w:rsidRDefault="0025625E" w:rsidP="00443C6B">
      <w:pPr>
        <w:spacing w:before="0" w:after="0" w:line="20" w:lineRule="atLeast"/>
      </w:pPr>
      <w:r>
        <w:t xml:space="preserve">Sakai, C., Lin, H., &amp; Flores, G. (2011). Health outcomes and family services in kinship care: </w:t>
      </w:r>
    </w:p>
    <w:p w14:paraId="6BA9461C" w14:textId="77777777" w:rsidR="0025625E" w:rsidRDefault="0025625E" w:rsidP="00443C6B">
      <w:pPr>
        <w:spacing w:before="0" w:after="0" w:line="20" w:lineRule="atLeast"/>
        <w:ind w:left="720"/>
      </w:pPr>
      <w:r>
        <w:t>Analysis of a national sample of children in the child welfare system</w:t>
      </w:r>
      <w:r w:rsidRPr="00BB1B88">
        <w:rPr>
          <w:i/>
          <w:iCs/>
        </w:rPr>
        <w:t>. Archives of Pediatrics &amp; Adolescent Medicine</w:t>
      </w:r>
      <w:r>
        <w:t>, 165(2), 159-165.</w:t>
      </w:r>
    </w:p>
    <w:p w14:paraId="57F3822D" w14:textId="77777777" w:rsidR="0025625E" w:rsidRDefault="0025625E" w:rsidP="00443C6B">
      <w:pPr>
        <w:spacing w:before="0" w:after="0" w:line="20" w:lineRule="atLeast"/>
        <w:ind w:left="720"/>
      </w:pPr>
    </w:p>
    <w:p w14:paraId="33D5E8AB" w14:textId="77777777" w:rsidR="0025625E" w:rsidRDefault="0025625E" w:rsidP="00443C6B">
      <w:pPr>
        <w:spacing w:before="0" w:after="0" w:line="20" w:lineRule="atLeast"/>
        <w:rPr>
          <w:rFonts w:cs="Arial"/>
        </w:rPr>
      </w:pPr>
      <w:r w:rsidRPr="00143C09">
        <w:rPr>
          <w:rFonts w:cs="Arial"/>
        </w:rPr>
        <w:t>Sturla Fossum, Svein Arild Vis &amp; Amy Holtan. (2018). Do frequency of visits with birth parents</w:t>
      </w:r>
      <w:r w:rsidRPr="00143C09">
        <w:rPr>
          <w:rFonts w:cs="Arial"/>
        </w:rPr>
        <w:tab/>
        <w:t xml:space="preserve"> </w:t>
      </w:r>
    </w:p>
    <w:p w14:paraId="304BA650" w14:textId="77777777" w:rsidR="0025625E" w:rsidRDefault="0025625E" w:rsidP="00443C6B">
      <w:pPr>
        <w:spacing w:before="0" w:after="0" w:line="20" w:lineRule="atLeast"/>
        <w:ind w:left="720"/>
        <w:rPr>
          <w:rFonts w:cs="Arial"/>
        </w:rPr>
      </w:pPr>
      <w:r w:rsidRPr="00143C09">
        <w:rPr>
          <w:rFonts w:cs="Arial"/>
        </w:rPr>
        <w:t>impact children’s mental health and parental stress in stable foster care settings, </w:t>
      </w:r>
      <w:r w:rsidRPr="00143C09">
        <w:rPr>
          <w:rFonts w:cs="Arial"/>
          <w:i/>
          <w:iCs/>
        </w:rPr>
        <w:t>Cogent Psychology</w:t>
      </w:r>
      <w:r w:rsidRPr="00143C09">
        <w:rPr>
          <w:rFonts w:cs="Arial"/>
        </w:rPr>
        <w:t>, 5:1</w:t>
      </w:r>
    </w:p>
    <w:p w14:paraId="61381BC2" w14:textId="77777777" w:rsidR="0025625E" w:rsidRPr="00E15BC8" w:rsidRDefault="0025625E" w:rsidP="00443C6B">
      <w:pPr>
        <w:spacing w:before="0" w:after="0" w:line="20" w:lineRule="atLeast"/>
        <w:ind w:left="720"/>
        <w:rPr>
          <w:rStyle w:val="Hyperlink"/>
          <w:rFonts w:cs="Arial"/>
        </w:rPr>
      </w:pPr>
    </w:p>
    <w:p w14:paraId="408DD35E" w14:textId="77777777" w:rsidR="0025625E" w:rsidRDefault="0025625E" w:rsidP="00443C6B">
      <w:pPr>
        <w:spacing w:before="0" w:after="0" w:line="20" w:lineRule="atLeast"/>
      </w:pPr>
      <w:r>
        <w:t xml:space="preserve">Turner, Sarah; Tailieu, Tamara; Cheung, Kristene; and Afifi, Tracie (2017). The relationship </w:t>
      </w:r>
    </w:p>
    <w:p w14:paraId="1BF29A96" w14:textId="77777777" w:rsidR="0025625E" w:rsidRDefault="0025625E" w:rsidP="00443C6B">
      <w:pPr>
        <w:spacing w:before="0" w:after="0" w:line="20" w:lineRule="atLeast"/>
        <w:ind w:left="720"/>
      </w:pPr>
      <w:r>
        <w:t xml:space="preserve">between childhood sexual abuse and mental health outcomes among males: Results from a nationally representative United States sample. </w:t>
      </w:r>
      <w:r>
        <w:rPr>
          <w:i/>
          <w:iCs/>
        </w:rPr>
        <w:t>Child Abuse and Neglect</w:t>
      </w:r>
      <w:r>
        <w:rPr>
          <w:b/>
          <w:bCs/>
          <w:i/>
          <w:iCs/>
        </w:rPr>
        <w:t xml:space="preserve">, </w:t>
      </w:r>
      <w:r w:rsidRPr="00572980">
        <w:rPr>
          <w:i/>
          <w:iCs/>
        </w:rPr>
        <w:t>66,</w:t>
      </w:r>
      <w:r>
        <w:t xml:space="preserve"> 64-72.</w:t>
      </w:r>
    </w:p>
    <w:p w14:paraId="45213360" w14:textId="77777777" w:rsidR="0025625E" w:rsidRPr="00407AE4" w:rsidRDefault="0025625E" w:rsidP="00443C6B">
      <w:pPr>
        <w:spacing w:before="0" w:after="0" w:line="20" w:lineRule="atLeast"/>
        <w:ind w:left="720"/>
        <w:rPr>
          <w:rStyle w:val="Hyperlink"/>
        </w:rPr>
      </w:pPr>
    </w:p>
    <w:p w14:paraId="25BCBD46" w14:textId="77777777" w:rsidR="0025625E" w:rsidRDefault="0025625E" w:rsidP="00443C6B">
      <w:pPr>
        <w:spacing w:before="0" w:after="0" w:line="20" w:lineRule="atLeast"/>
      </w:pPr>
      <w:r>
        <w:t xml:space="preserve">Widom, Cathy; Czaja, Sally; Bently, Tyrone; and Johnson, Mark (2012). A prospective </w:t>
      </w:r>
    </w:p>
    <w:p w14:paraId="54B5E046" w14:textId="77777777" w:rsidR="0025625E" w:rsidRDefault="0025625E" w:rsidP="00443C6B">
      <w:pPr>
        <w:spacing w:before="0" w:after="0" w:line="20" w:lineRule="atLeast"/>
        <w:ind w:left="720"/>
      </w:pPr>
      <w:r>
        <w:t xml:space="preserve">investigation of physical health heath outcomes in abused and neglected children: New findings from a 30 year follow-up. </w:t>
      </w:r>
      <w:r>
        <w:rPr>
          <w:i/>
          <w:iCs/>
        </w:rPr>
        <w:t>American Public Health Association,</w:t>
      </w:r>
      <w:r>
        <w:t xml:space="preserve"> </w:t>
      </w:r>
      <w:r w:rsidRPr="00572980">
        <w:rPr>
          <w:i/>
          <w:iCs/>
        </w:rPr>
        <w:t>102</w:t>
      </w:r>
      <w:r>
        <w:t>, 1135-1144.</w:t>
      </w:r>
    </w:p>
    <w:p w14:paraId="6069BFF5" w14:textId="77777777" w:rsidR="0025625E" w:rsidRDefault="0025625E" w:rsidP="00443C6B">
      <w:pPr>
        <w:spacing w:before="0" w:after="0" w:line="20" w:lineRule="atLeast"/>
        <w:ind w:left="720"/>
      </w:pPr>
    </w:p>
    <w:p w14:paraId="53F614BC" w14:textId="77777777" w:rsidR="0025625E" w:rsidRDefault="0025625E" w:rsidP="00443C6B">
      <w:pPr>
        <w:spacing w:before="0" w:after="0" w:line="20" w:lineRule="atLeast"/>
      </w:pPr>
      <w:r>
        <w:t xml:space="preserve">Winokur, M. A., Holtan, A., &amp; Batchelder, K. E. (2018). Systematic review of kinship care effects </w:t>
      </w:r>
    </w:p>
    <w:p w14:paraId="22865E5E" w14:textId="77777777" w:rsidR="0025625E" w:rsidRDefault="0025625E" w:rsidP="00443C6B">
      <w:pPr>
        <w:spacing w:before="0" w:after="0" w:line="20" w:lineRule="atLeast"/>
        <w:ind w:left="720"/>
      </w:pPr>
      <w:r>
        <w:t xml:space="preserve">on safety, permanency, and well-being outcomes. </w:t>
      </w:r>
      <w:r w:rsidRPr="00E15BC8">
        <w:rPr>
          <w:i/>
          <w:iCs/>
        </w:rPr>
        <w:t>Research on Social Work Practice</w:t>
      </w:r>
      <w:r>
        <w:t>, 28(1), 19-32.</w:t>
      </w:r>
    </w:p>
    <w:p w14:paraId="17DF0F79" w14:textId="77777777" w:rsidR="0025625E" w:rsidRDefault="0025625E" w:rsidP="00443C6B">
      <w:pPr>
        <w:spacing w:before="0" w:after="0" w:line="20" w:lineRule="atLeast"/>
      </w:pPr>
    </w:p>
    <w:p w14:paraId="636147D5" w14:textId="77777777" w:rsidR="0025625E" w:rsidRDefault="0025625E" w:rsidP="00443C6B">
      <w:pPr>
        <w:spacing w:before="0" w:after="0" w:line="20" w:lineRule="atLeast"/>
      </w:pPr>
      <w:r w:rsidRPr="00420F1A">
        <w:t xml:space="preserve">Wolpert, Miranda, et al. </w:t>
      </w:r>
      <w:r>
        <w:t xml:space="preserve">(2012). </w:t>
      </w:r>
      <w:r w:rsidRPr="00420F1A">
        <w:t xml:space="preserve">Patient-reported outcomes in child and adolescent mental </w:t>
      </w:r>
    </w:p>
    <w:p w14:paraId="2FDB1CB3" w14:textId="06F47CAC" w:rsidR="00C523C8" w:rsidRDefault="0025625E" w:rsidP="00C523C8">
      <w:pPr>
        <w:spacing w:before="0" w:after="0" w:line="20" w:lineRule="atLeast"/>
        <w:ind w:left="720"/>
      </w:pPr>
      <w:r w:rsidRPr="00420F1A">
        <w:t>health services (CAMHS): use of idiographic and standardized measures." </w:t>
      </w:r>
      <w:r w:rsidRPr="00420F1A">
        <w:rPr>
          <w:i/>
          <w:iCs/>
        </w:rPr>
        <w:t>Journal of mental health</w:t>
      </w:r>
      <w:r w:rsidRPr="00420F1A">
        <w:t> 21.</w:t>
      </w:r>
      <w:r>
        <w:t>(2)</w:t>
      </w:r>
      <w:r w:rsidRPr="00420F1A">
        <w:t>: 165-173.</w:t>
      </w:r>
    </w:p>
    <w:p w14:paraId="6C5F7B51" w14:textId="77777777" w:rsidR="00C523C8" w:rsidRDefault="00C523C8" w:rsidP="00C523C8">
      <w:pPr>
        <w:spacing w:before="0" w:after="0" w:line="20" w:lineRule="atLeast"/>
        <w:ind w:left="720"/>
      </w:pPr>
    </w:p>
    <w:p w14:paraId="03E8CC82" w14:textId="77777777" w:rsidR="00C523C8" w:rsidRDefault="00C523C8" w:rsidP="00C523C8">
      <w:pPr>
        <w:spacing w:before="0" w:after="0" w:line="20" w:lineRule="atLeast"/>
        <w:rPr>
          <w:rFonts w:cs="Arial"/>
          <w:i/>
          <w:iCs/>
          <w:color w:val="222222"/>
          <w:shd w:val="clear" w:color="auto" w:fill="FFFFFF"/>
        </w:rPr>
      </w:pPr>
      <w:r w:rsidRPr="00676773">
        <w:rPr>
          <w:rFonts w:cs="Arial"/>
          <w:color w:val="222222"/>
          <w:shd w:val="clear" w:color="auto" w:fill="FFFFFF"/>
        </w:rPr>
        <w:t>Carnochan, S., Lee, C., &amp; Austin, M. J. (2013). Achieving timely reunification. </w:t>
      </w:r>
      <w:r w:rsidRPr="00676773">
        <w:rPr>
          <w:rFonts w:cs="Arial"/>
          <w:i/>
          <w:iCs/>
          <w:color w:val="222222"/>
          <w:shd w:val="clear" w:color="auto" w:fill="FFFFFF"/>
        </w:rPr>
        <w:t xml:space="preserve">Journal of </w:t>
      </w:r>
    </w:p>
    <w:p w14:paraId="14FA43A9" w14:textId="77777777" w:rsidR="00C523C8" w:rsidRDefault="00C523C8" w:rsidP="00C523C8">
      <w:pPr>
        <w:spacing w:before="0" w:after="0" w:line="20" w:lineRule="atLeast"/>
        <w:ind w:firstLine="720"/>
        <w:rPr>
          <w:rFonts w:cs="Arial"/>
          <w:color w:val="222222"/>
          <w:shd w:val="clear" w:color="auto" w:fill="FFFFFF"/>
        </w:rPr>
      </w:pPr>
      <w:r w:rsidRPr="00676773">
        <w:rPr>
          <w:rFonts w:cs="Arial"/>
          <w:i/>
          <w:iCs/>
          <w:color w:val="222222"/>
          <w:shd w:val="clear" w:color="auto" w:fill="FFFFFF"/>
        </w:rPr>
        <w:t>Evidence-Based Social Work</w:t>
      </w:r>
      <w:r w:rsidRPr="00676773">
        <w:rPr>
          <w:rFonts w:cs="Arial"/>
          <w:color w:val="222222"/>
          <w:shd w:val="clear" w:color="auto" w:fill="FFFFFF"/>
        </w:rPr>
        <w:t>, </w:t>
      </w:r>
      <w:r w:rsidRPr="00676773">
        <w:rPr>
          <w:rFonts w:cs="Arial"/>
          <w:i/>
          <w:iCs/>
          <w:color w:val="222222"/>
          <w:shd w:val="clear" w:color="auto" w:fill="FFFFFF"/>
        </w:rPr>
        <w:t>10</w:t>
      </w:r>
      <w:r w:rsidRPr="00676773">
        <w:rPr>
          <w:rFonts w:cs="Arial"/>
          <w:color w:val="222222"/>
          <w:shd w:val="clear" w:color="auto" w:fill="FFFFFF"/>
        </w:rPr>
        <w:t>(3), 179-195.</w:t>
      </w:r>
    </w:p>
    <w:p w14:paraId="60027938" w14:textId="77777777" w:rsidR="00C523C8" w:rsidRDefault="00C523C8" w:rsidP="00C523C8">
      <w:pPr>
        <w:spacing w:before="0" w:after="0"/>
      </w:pPr>
    </w:p>
    <w:p w14:paraId="59F1367A" w14:textId="77777777" w:rsidR="00C523C8" w:rsidRDefault="00C523C8" w:rsidP="00C523C8">
      <w:pPr>
        <w:spacing w:before="0" w:after="0"/>
      </w:pPr>
      <w:r>
        <w:t xml:space="preserve">Casanueva, C., Tueller, S., Dolan, M., Testa, M., Smith, K., Dary, O., (2015). Examining </w:t>
      </w:r>
    </w:p>
    <w:p w14:paraId="15C3DE0F" w14:textId="77777777" w:rsidR="00C523C8" w:rsidRDefault="00C523C8" w:rsidP="00C523C8">
      <w:pPr>
        <w:spacing w:before="0" w:after="0"/>
        <w:ind w:left="720"/>
      </w:pPr>
      <w:r>
        <w:t xml:space="preserve">predictors of re-reports and recurrence of child maltreatments using two national data sources. </w:t>
      </w:r>
      <w:r>
        <w:rPr>
          <w:i/>
          <w:iCs/>
        </w:rPr>
        <w:t xml:space="preserve">Children and Youth Services Review, </w:t>
      </w:r>
      <w:r>
        <w:t>Vol. 48: 1-13.</w:t>
      </w:r>
    </w:p>
    <w:p w14:paraId="162AA2F8" w14:textId="77777777" w:rsidR="00C523C8" w:rsidRDefault="00C523C8" w:rsidP="00C523C8">
      <w:pPr>
        <w:spacing w:before="0" w:after="0"/>
        <w:ind w:left="720"/>
      </w:pPr>
    </w:p>
    <w:p w14:paraId="7CBABC70" w14:textId="77777777" w:rsidR="00C523C8" w:rsidRDefault="00C523C8" w:rsidP="00C523C8">
      <w:pPr>
        <w:spacing w:before="0" w:after="0" w:line="20" w:lineRule="atLeast"/>
        <w:rPr>
          <w:rFonts w:cs="Arial"/>
          <w:color w:val="222222"/>
          <w:shd w:val="clear" w:color="auto" w:fill="FFFFFF"/>
        </w:rPr>
      </w:pPr>
      <w:r>
        <w:rPr>
          <w:rFonts w:cs="Arial"/>
          <w:color w:val="222222"/>
          <w:shd w:val="clear" w:color="auto" w:fill="FFFFFF"/>
        </w:rPr>
        <w:t xml:space="preserve">Chambers, R., Crutchfield, R., Willis, T., Cuza, H., Otero, A., Harper, S., Carmichael, H. (2018). </w:t>
      </w:r>
    </w:p>
    <w:p w14:paraId="22DC054F" w14:textId="77777777" w:rsidR="00C523C8" w:rsidRPr="005F5BF4" w:rsidRDefault="00C523C8" w:rsidP="00C523C8">
      <w:pPr>
        <w:spacing w:before="0" w:after="0" w:line="20" w:lineRule="atLeast"/>
        <w:ind w:left="720"/>
        <w:rPr>
          <w:rFonts w:cs="Arial"/>
          <w:color w:val="222222"/>
          <w:shd w:val="clear" w:color="auto" w:fill="FFFFFF"/>
        </w:rPr>
      </w:pPr>
      <w:r>
        <w:rPr>
          <w:rFonts w:cs="Arial"/>
          <w:color w:val="222222"/>
          <w:shd w:val="clear" w:color="auto" w:fill="FFFFFF"/>
        </w:rPr>
        <w:t xml:space="preserve">It’s just not right to move a kid that many times:” A qualitative study of how foster care alumni perceive placement moves. </w:t>
      </w:r>
      <w:r>
        <w:rPr>
          <w:rFonts w:cs="Arial"/>
          <w:i/>
          <w:iCs/>
          <w:color w:val="222222"/>
          <w:shd w:val="clear" w:color="auto" w:fill="FFFFFF"/>
        </w:rPr>
        <w:t>Children and Youth Services Review</w:t>
      </w:r>
      <w:r>
        <w:rPr>
          <w:rFonts w:cs="Arial"/>
          <w:color w:val="222222"/>
          <w:shd w:val="clear" w:color="auto" w:fill="FFFFFF"/>
        </w:rPr>
        <w:t xml:space="preserve">, 86, 76-83. </w:t>
      </w:r>
    </w:p>
    <w:p w14:paraId="6DC45B79" w14:textId="77777777" w:rsidR="00C523C8" w:rsidRDefault="00C523C8" w:rsidP="00C523C8">
      <w:pPr>
        <w:spacing w:before="0" w:after="0"/>
        <w:ind w:left="720"/>
      </w:pPr>
    </w:p>
    <w:p w14:paraId="20F61E81" w14:textId="77777777" w:rsidR="00C523C8" w:rsidRDefault="00C523C8" w:rsidP="00C523C8">
      <w:pPr>
        <w:spacing w:before="0" w:after="0" w:line="20" w:lineRule="atLeast"/>
      </w:pPr>
      <w:r w:rsidRPr="00572980">
        <w:t xml:space="preserve">Machisa, Mercilene &amp; Christofides, Nicola &amp; Jewkes, Rachel. (2016). Structural </w:t>
      </w:r>
      <w:r>
        <w:t>p</w:t>
      </w:r>
      <w:r w:rsidRPr="00572980">
        <w:t xml:space="preserve">athways </w:t>
      </w:r>
    </w:p>
    <w:p w14:paraId="1CFD03EC" w14:textId="77777777" w:rsidR="00C523C8" w:rsidRDefault="00C523C8" w:rsidP="00C523C8">
      <w:pPr>
        <w:spacing w:before="0" w:after="0" w:line="20" w:lineRule="atLeast"/>
        <w:ind w:left="720"/>
        <w:rPr>
          <w:rStyle w:val="Hyperlink"/>
        </w:rPr>
      </w:pPr>
      <w:r w:rsidRPr="00572980">
        <w:t xml:space="preserve">between </w:t>
      </w:r>
      <w:r>
        <w:t>c</w:t>
      </w:r>
      <w:r w:rsidRPr="00572980">
        <w:t xml:space="preserve">hild </w:t>
      </w:r>
      <w:r>
        <w:t>a</w:t>
      </w:r>
      <w:r w:rsidRPr="00572980">
        <w:t xml:space="preserve">buse, </w:t>
      </w:r>
      <w:r>
        <w:t>p</w:t>
      </w:r>
      <w:r w:rsidRPr="00572980">
        <w:t xml:space="preserve">oor </w:t>
      </w:r>
      <w:r>
        <w:t>m</w:t>
      </w:r>
      <w:r w:rsidRPr="00572980">
        <w:t xml:space="preserve">ental </w:t>
      </w:r>
      <w:r>
        <w:t>h</w:t>
      </w:r>
      <w:r w:rsidRPr="00572980">
        <w:t xml:space="preserve">ealth </w:t>
      </w:r>
      <w:r>
        <w:t>o</w:t>
      </w:r>
      <w:r w:rsidRPr="00572980">
        <w:t xml:space="preserve">utcomes and </w:t>
      </w:r>
      <w:r>
        <w:t>m</w:t>
      </w:r>
      <w:r w:rsidRPr="00572980">
        <w:t>ale-</w:t>
      </w:r>
      <w:r>
        <w:t>p</w:t>
      </w:r>
      <w:r w:rsidRPr="00572980">
        <w:t xml:space="preserve">erpetrated </w:t>
      </w:r>
      <w:r>
        <w:t>i</w:t>
      </w:r>
      <w:r w:rsidRPr="00572980">
        <w:t xml:space="preserve">ntimate </w:t>
      </w:r>
      <w:r>
        <w:t>p</w:t>
      </w:r>
      <w:r w:rsidRPr="00572980">
        <w:t xml:space="preserve">artner </w:t>
      </w:r>
      <w:r>
        <w:t>vi</w:t>
      </w:r>
      <w:r w:rsidRPr="00572980">
        <w:t xml:space="preserve">olence (IPV). </w:t>
      </w:r>
      <w:r w:rsidRPr="00AA0B6B">
        <w:rPr>
          <w:i/>
          <w:iCs/>
        </w:rPr>
        <w:t>PloS one. 11</w:t>
      </w:r>
      <w:r>
        <w:t>, Article</w:t>
      </w:r>
      <w:r w:rsidRPr="00572980">
        <w:t xml:space="preserve"> e0150986. 10.1371/journal.pone.0150986.</w:t>
      </w:r>
      <w:r>
        <w:t xml:space="preserve"> </w:t>
      </w:r>
      <w:r w:rsidRPr="00572980">
        <w:t xml:space="preserve"> </w:t>
      </w:r>
      <w:r>
        <w:t xml:space="preserve">Retrieved from:  </w:t>
      </w:r>
      <w:hyperlink r:id="rId29" w:history="1">
        <w:r>
          <w:rPr>
            <w:rStyle w:val="Hyperlink"/>
          </w:rPr>
          <w:t>https://www.researchgate.net/publication/298797315_Structural_Pathways_between_Ch</w:t>
        </w:r>
        <w:r>
          <w:rPr>
            <w:rStyle w:val="Hyperlink"/>
          </w:rPr>
          <w:lastRenderedPageBreak/>
          <w:t>ild_Abuse_Poor_Mental_Health_Outcomes_and_Male-Perpetrated_Intimate_Partner_Violence_IPV</w:t>
        </w:r>
      </w:hyperlink>
    </w:p>
    <w:p w14:paraId="318C2C08" w14:textId="77777777" w:rsidR="00C523C8" w:rsidRDefault="00C523C8" w:rsidP="00C523C8">
      <w:pPr>
        <w:spacing w:before="0" w:after="0" w:line="20" w:lineRule="atLeast"/>
        <w:ind w:left="720"/>
        <w:rPr>
          <w:rStyle w:val="Hyperlink"/>
        </w:rPr>
      </w:pPr>
    </w:p>
    <w:p w14:paraId="69820AB1" w14:textId="77777777" w:rsidR="00C523C8" w:rsidRDefault="00C523C8" w:rsidP="00C523C8">
      <w:pPr>
        <w:spacing w:before="0" w:after="0" w:line="20" w:lineRule="atLeast"/>
      </w:pPr>
      <w:r>
        <w:t xml:space="preserve">Turner, Sarah; Tailieu, Tamara; Cheung, Kristene; and Afifi, Tracie (2017). The relationship </w:t>
      </w:r>
    </w:p>
    <w:p w14:paraId="3CE115B2" w14:textId="77777777" w:rsidR="00C523C8" w:rsidRPr="00AB4B03" w:rsidRDefault="00C523C8" w:rsidP="00C523C8">
      <w:pPr>
        <w:spacing w:before="0" w:after="0" w:line="20" w:lineRule="atLeast"/>
        <w:ind w:left="720"/>
        <w:rPr>
          <w:rStyle w:val="Hyperlink"/>
        </w:rPr>
      </w:pPr>
      <w:r>
        <w:t xml:space="preserve">between childhood sexual abuse and mental health outcomes among males: Results from a nationally representative United States sample. </w:t>
      </w:r>
      <w:r>
        <w:rPr>
          <w:i/>
          <w:iCs/>
        </w:rPr>
        <w:t>Child Abuse and Neglect</w:t>
      </w:r>
      <w:r>
        <w:rPr>
          <w:b/>
          <w:bCs/>
          <w:i/>
          <w:iCs/>
        </w:rPr>
        <w:t xml:space="preserve">, </w:t>
      </w:r>
      <w:r w:rsidRPr="00572980">
        <w:rPr>
          <w:i/>
          <w:iCs/>
        </w:rPr>
        <w:t>66,</w:t>
      </w:r>
      <w:r>
        <w:t xml:space="preserve"> 64-72.</w:t>
      </w:r>
    </w:p>
    <w:p w14:paraId="220A2F00" w14:textId="77777777" w:rsidR="00C523C8" w:rsidRDefault="00C523C8" w:rsidP="00C523C8">
      <w:pPr>
        <w:spacing w:before="0" w:after="0"/>
      </w:pPr>
    </w:p>
    <w:p w14:paraId="7BB9C499" w14:textId="77777777" w:rsidR="00C523C8" w:rsidRDefault="00C523C8" w:rsidP="00C523C8">
      <w:pPr>
        <w:spacing w:before="0" w:after="0" w:line="20" w:lineRule="atLeast"/>
      </w:pPr>
      <w:r>
        <w:t xml:space="preserve">Widom, Cathy; Czaja, Sally; Bently, Tyrone; and Johnson, Mark (2012). A prospective </w:t>
      </w:r>
    </w:p>
    <w:p w14:paraId="20B82B3A" w14:textId="77777777" w:rsidR="00C523C8" w:rsidRDefault="00C523C8" w:rsidP="00C523C8">
      <w:pPr>
        <w:spacing w:before="0" w:after="0" w:line="20" w:lineRule="atLeast"/>
        <w:ind w:left="720"/>
      </w:pPr>
      <w:r>
        <w:t xml:space="preserve">investigation of physical health heath outcomes in abused and neglected children: New findings from a 30 year follow-up. </w:t>
      </w:r>
      <w:r>
        <w:rPr>
          <w:i/>
          <w:iCs/>
        </w:rPr>
        <w:t>American Public Health Association,</w:t>
      </w:r>
      <w:r>
        <w:t xml:space="preserve"> </w:t>
      </w:r>
      <w:r w:rsidRPr="00572980">
        <w:rPr>
          <w:i/>
          <w:iCs/>
        </w:rPr>
        <w:t>102</w:t>
      </w:r>
      <w:r>
        <w:t>, 1135-1144.</w:t>
      </w:r>
    </w:p>
    <w:p w14:paraId="545F1D78" w14:textId="77777777" w:rsidR="00C523C8" w:rsidRPr="00AB4B03" w:rsidRDefault="00C523C8" w:rsidP="00C523C8">
      <w:pPr>
        <w:spacing w:before="0" w:after="0"/>
      </w:pPr>
    </w:p>
    <w:p w14:paraId="5FFA76C8" w14:textId="77777777" w:rsidR="00C523C8" w:rsidRDefault="00C523C8" w:rsidP="00C523C8">
      <w:pPr>
        <w:spacing w:before="0" w:after="0"/>
      </w:pPr>
      <w:r>
        <w:t xml:space="preserve">Zhang, S., Fuller, T., Nieto, M. (2013). Didn’t we just see you? Time to recurrence among </w:t>
      </w:r>
    </w:p>
    <w:p w14:paraId="26ABCFF8" w14:textId="77777777" w:rsidR="00C523C8" w:rsidRDefault="00C523C8" w:rsidP="00C523C8">
      <w:pPr>
        <w:spacing w:before="0" w:after="0"/>
        <w:ind w:left="720"/>
      </w:pPr>
      <w:r>
        <w:t xml:space="preserve">frequently encountered families in CPS. </w:t>
      </w:r>
      <w:r>
        <w:rPr>
          <w:i/>
          <w:iCs/>
        </w:rPr>
        <w:t>Children and Family Research Center</w:t>
      </w:r>
      <w:r>
        <w:t>, retrieved from:</w:t>
      </w:r>
      <w:hyperlink r:id="rId30" w:history="1">
        <w:r w:rsidRPr="00146370">
          <w:rPr>
            <w:rStyle w:val="Hyperlink"/>
          </w:rPr>
          <w:t>https://cfrc.illinois.edu/pubs/jn_20130301_DidnTWeJustSeeYouTimeToRecurrenceAmongFrequentlyEncounteredFamiliesInCPS.pdf</w:t>
        </w:r>
      </w:hyperlink>
    </w:p>
    <w:p w14:paraId="2856137E" w14:textId="77777777" w:rsidR="00C523C8" w:rsidRDefault="00C523C8" w:rsidP="00C523C8">
      <w:pPr>
        <w:spacing w:before="0" w:after="0"/>
        <w:ind w:left="720"/>
      </w:pPr>
    </w:p>
    <w:p w14:paraId="09369DAC" w14:textId="77777777" w:rsidR="00C523C8" w:rsidRDefault="00C523C8" w:rsidP="00C523C8">
      <w:pPr>
        <w:spacing w:before="0" w:after="0"/>
      </w:pPr>
      <w:r w:rsidRPr="001E5841">
        <w:t xml:space="preserve">The Annie E. Casey Foundation (2015). </w:t>
      </w:r>
      <w:r w:rsidRPr="007D01AF">
        <w:t xml:space="preserve">10 </w:t>
      </w:r>
      <w:r>
        <w:t>p</w:t>
      </w:r>
      <w:r w:rsidRPr="007D01AF">
        <w:t xml:space="preserve">ractices </w:t>
      </w:r>
      <w:r>
        <w:t>p</w:t>
      </w:r>
      <w:r w:rsidRPr="007D01AF">
        <w:t xml:space="preserve">art </w:t>
      </w:r>
      <w:r>
        <w:t>o</w:t>
      </w:r>
      <w:r w:rsidRPr="007D01AF">
        <w:t xml:space="preserve">ne:  A </w:t>
      </w:r>
      <w:r>
        <w:t>c</w:t>
      </w:r>
      <w:r w:rsidRPr="007D01AF">
        <w:t xml:space="preserve">hild </w:t>
      </w:r>
      <w:r>
        <w:t>w</w:t>
      </w:r>
      <w:r w:rsidRPr="007D01AF">
        <w:t xml:space="preserve">elfare </w:t>
      </w:r>
      <w:r>
        <w:t>l</w:t>
      </w:r>
      <w:r w:rsidRPr="007D01AF">
        <w:t xml:space="preserve">eader’s </w:t>
      </w:r>
      <w:r>
        <w:t>d</w:t>
      </w:r>
      <w:r w:rsidRPr="007D01AF">
        <w:t xml:space="preserve">esk </w:t>
      </w:r>
    </w:p>
    <w:p w14:paraId="0F4B7B3F" w14:textId="77777777" w:rsidR="00C523C8" w:rsidRDefault="00C523C8" w:rsidP="00C523C8">
      <w:pPr>
        <w:spacing w:before="0" w:after="0"/>
        <w:ind w:left="720"/>
      </w:pPr>
      <w:r>
        <w:t>g</w:t>
      </w:r>
      <w:r w:rsidRPr="007D01AF">
        <w:t xml:space="preserve">uide to </w:t>
      </w:r>
      <w:r>
        <w:t>b</w:t>
      </w:r>
      <w:r w:rsidRPr="007D01AF">
        <w:t xml:space="preserve">uilding a </w:t>
      </w:r>
      <w:r>
        <w:t>h</w:t>
      </w:r>
      <w:r w:rsidRPr="007D01AF">
        <w:t>igh-</w:t>
      </w:r>
      <w:r>
        <w:t>p</w:t>
      </w:r>
      <w:r w:rsidRPr="007D01AF">
        <w:t xml:space="preserve">erforming </w:t>
      </w:r>
      <w:r>
        <w:t>a</w:t>
      </w:r>
      <w:r w:rsidRPr="007D01AF">
        <w:t>gency</w:t>
      </w:r>
      <w:r w:rsidRPr="001E5841">
        <w:t>. Baltimore</w:t>
      </w:r>
      <w:r>
        <w:t>, MD</w:t>
      </w:r>
      <w:r w:rsidRPr="001E5841">
        <w:t xml:space="preserve">: </w:t>
      </w:r>
      <w:r>
        <w:t xml:space="preserve"> </w:t>
      </w:r>
      <w:r w:rsidRPr="001E5841">
        <w:t>The Annie E. Casey Foundation.</w:t>
      </w:r>
      <w:r>
        <w:t xml:space="preserve"> </w:t>
      </w:r>
      <w:r w:rsidRPr="00813CBA">
        <w:t xml:space="preserve"> Retrieved from </w:t>
      </w:r>
      <w:hyperlink r:id="rId31" w:history="1">
        <w:r>
          <w:rPr>
            <w:rStyle w:val="Hyperlink"/>
          </w:rPr>
          <w:t>https://www.aecf.org/resources/10-practices-part-one/</w:t>
        </w:r>
      </w:hyperlink>
      <w:r>
        <w:t>.</w:t>
      </w:r>
    </w:p>
    <w:p w14:paraId="5DC3D65C" w14:textId="77777777" w:rsidR="00C523C8" w:rsidRDefault="00C523C8" w:rsidP="00C523C8">
      <w:pPr>
        <w:spacing w:before="0" w:after="0"/>
      </w:pPr>
      <w:r>
        <w:t xml:space="preserve">Altman, J.C. (2008).  A study of engagement in neighborhood-based Child Welfare services.  </w:t>
      </w:r>
    </w:p>
    <w:p w14:paraId="3D036349" w14:textId="77777777" w:rsidR="00C523C8" w:rsidRDefault="00C523C8" w:rsidP="00C523C8">
      <w:pPr>
        <w:spacing w:before="0" w:after="0"/>
        <w:ind w:left="720"/>
        <w:rPr>
          <w:rStyle w:val="Hyperlink"/>
        </w:rPr>
      </w:pPr>
      <w:r w:rsidRPr="002D11F6">
        <w:rPr>
          <w:i/>
          <w:iCs/>
        </w:rPr>
        <w:t>Research on Social Work Practice, 18</w:t>
      </w:r>
      <w:r>
        <w:rPr>
          <w:i/>
          <w:iCs/>
        </w:rPr>
        <w:t>(</w:t>
      </w:r>
      <w:r w:rsidRPr="002D11F6">
        <w:rPr>
          <w:i/>
          <w:iCs/>
        </w:rPr>
        <w:t>6</w:t>
      </w:r>
      <w:r>
        <w:rPr>
          <w:i/>
          <w:iCs/>
        </w:rPr>
        <w:t>)</w:t>
      </w:r>
      <w:r>
        <w:t xml:space="preserve">, November 2008 555-564.  Retrieved from: </w:t>
      </w:r>
      <w:hyperlink r:id="rId32" w:history="1">
        <w:r w:rsidRPr="003A02E2">
          <w:rPr>
            <w:rStyle w:val="Hyperlink"/>
          </w:rPr>
          <w:t>http://citeseerx.ist.psu.edu/viewdoc/download?doi=10.1.1.999.8413&amp;rep=rep1&amp;type=pdf</w:t>
        </w:r>
      </w:hyperlink>
    </w:p>
    <w:p w14:paraId="4604B585" w14:textId="77777777" w:rsidR="00C523C8" w:rsidRDefault="00C523C8" w:rsidP="00C523C8">
      <w:pPr>
        <w:spacing w:before="0" w:after="0"/>
      </w:pPr>
      <w:r>
        <w:t xml:space="preserve">Bell, T., &amp; Romano, E. (2017). Permanency and safety among children in foster family and </w:t>
      </w:r>
    </w:p>
    <w:p w14:paraId="3DB48C87" w14:textId="77777777" w:rsidR="00C523C8" w:rsidRDefault="00C523C8" w:rsidP="00C523C8">
      <w:pPr>
        <w:spacing w:before="0" w:after="0"/>
        <w:ind w:firstLine="720"/>
      </w:pPr>
      <w:r>
        <w:t xml:space="preserve">kinship care: A scoping review.  </w:t>
      </w:r>
      <w:r w:rsidRPr="004E1808">
        <w:rPr>
          <w:i/>
          <w:iCs/>
        </w:rPr>
        <w:t>Trauma, Violence, &amp; Abuse,</w:t>
      </w:r>
      <w:r>
        <w:rPr>
          <w:i/>
          <w:iCs/>
        </w:rPr>
        <w:t xml:space="preserve"> </w:t>
      </w:r>
      <w:r w:rsidRPr="004E1808">
        <w:rPr>
          <w:i/>
          <w:iCs/>
        </w:rPr>
        <w:t>18(3)</w:t>
      </w:r>
      <w:r>
        <w:t>, 268-286.</w:t>
      </w:r>
    </w:p>
    <w:p w14:paraId="527FEF62" w14:textId="77777777" w:rsidR="00C523C8" w:rsidRDefault="00C523C8" w:rsidP="00C523C8">
      <w:pPr>
        <w:spacing w:before="0" w:after="0"/>
      </w:pPr>
      <w:r w:rsidRPr="002B5902">
        <w:t xml:space="preserve">Capacity Building Center for States (2018). </w:t>
      </w:r>
      <w:r w:rsidRPr="007D01AF">
        <w:t xml:space="preserve">Child </w:t>
      </w:r>
      <w:r>
        <w:t>p</w:t>
      </w:r>
      <w:r w:rsidRPr="007D01AF">
        <w:t xml:space="preserve">rotective </w:t>
      </w:r>
      <w:r>
        <w:t>s</w:t>
      </w:r>
      <w:r w:rsidRPr="007D01AF">
        <w:t xml:space="preserve">ervices: A </w:t>
      </w:r>
      <w:r>
        <w:t>g</w:t>
      </w:r>
      <w:r w:rsidRPr="007D01AF">
        <w:t xml:space="preserve">uide for </w:t>
      </w:r>
      <w:r>
        <w:t>c</w:t>
      </w:r>
      <w:r w:rsidRPr="007D01AF">
        <w:t>aseworkers</w:t>
      </w:r>
      <w:r w:rsidRPr="002B5902">
        <w:rPr>
          <w:i/>
          <w:iCs/>
        </w:rPr>
        <w:t>.</w:t>
      </w:r>
      <w:r w:rsidRPr="002B5902">
        <w:t xml:space="preserve"> </w:t>
      </w:r>
    </w:p>
    <w:p w14:paraId="110F625D" w14:textId="77777777" w:rsidR="00C523C8" w:rsidRDefault="00C523C8" w:rsidP="00C523C8">
      <w:pPr>
        <w:spacing w:before="0" w:after="0"/>
        <w:ind w:left="720"/>
      </w:pPr>
      <w:r w:rsidRPr="002B5902">
        <w:t xml:space="preserve">Washington, DC: </w:t>
      </w:r>
      <w:r>
        <w:t xml:space="preserve"> </w:t>
      </w:r>
      <w:r w:rsidRPr="002B5902">
        <w:t>Children’s Bureau, Administration for Children and Families, U.S. Department of Health and Human Services</w:t>
      </w:r>
      <w:r>
        <w:t xml:space="preserve">.  Retrieved from: </w:t>
      </w:r>
      <w:hyperlink r:id="rId33" w:history="1">
        <w:r w:rsidRPr="003B6A34">
          <w:rPr>
            <w:color w:val="0000FF"/>
            <w:u w:val="single"/>
          </w:rPr>
          <w:t>https://www.childwelfare.gov/pubs/usermanuals/cps2018/</w:t>
        </w:r>
      </w:hyperlink>
      <w:r>
        <w:t>.</w:t>
      </w:r>
    </w:p>
    <w:p w14:paraId="163D4282" w14:textId="77777777" w:rsidR="00C523C8" w:rsidRDefault="00C523C8" w:rsidP="00C523C8">
      <w:pPr>
        <w:spacing w:before="0" w:after="0"/>
      </w:pPr>
      <w:r>
        <w:t xml:space="preserve">Children's Bureau, U.S. Department of Health and Human Services </w:t>
      </w:r>
      <w:r w:rsidRPr="00813CBA">
        <w:t>(</w:t>
      </w:r>
      <w:r>
        <w:t>2016</w:t>
      </w:r>
      <w:r w:rsidRPr="00813CBA">
        <w:t>).</w:t>
      </w:r>
      <w:r>
        <w:t xml:space="preserve"> </w:t>
      </w:r>
      <w:r w:rsidRPr="00813CBA">
        <w:t xml:space="preserve"> </w:t>
      </w:r>
      <w:r w:rsidRPr="007D01AF">
        <w:t xml:space="preserve">Child and </w:t>
      </w:r>
      <w:r>
        <w:t>f</w:t>
      </w:r>
      <w:r w:rsidRPr="007D01AF">
        <w:t xml:space="preserve">amily </w:t>
      </w:r>
    </w:p>
    <w:p w14:paraId="472D3BF5" w14:textId="77777777" w:rsidR="00C523C8" w:rsidRDefault="00C523C8" w:rsidP="00C523C8">
      <w:pPr>
        <w:spacing w:before="0" w:after="0"/>
        <w:ind w:left="720"/>
      </w:pPr>
      <w:r>
        <w:t>s</w:t>
      </w:r>
      <w:r w:rsidRPr="007D01AF">
        <w:t xml:space="preserve">ervices </w:t>
      </w:r>
      <w:r>
        <w:t>r</w:t>
      </w:r>
      <w:r w:rsidRPr="007D01AF">
        <w:t xml:space="preserve">eviews:  Onsite </w:t>
      </w:r>
      <w:r>
        <w:t>r</w:t>
      </w:r>
      <w:r w:rsidRPr="007D01AF">
        <w:t xml:space="preserve">eview </w:t>
      </w:r>
      <w:r>
        <w:t>i</w:t>
      </w:r>
      <w:r w:rsidRPr="007D01AF">
        <w:t xml:space="preserve">nstrument and </w:t>
      </w:r>
      <w:r>
        <w:t>i</w:t>
      </w:r>
      <w:r w:rsidRPr="007D01AF">
        <w:t>nstructions</w:t>
      </w:r>
      <w:r w:rsidRPr="00813CBA">
        <w:rPr>
          <w:i/>
          <w:iCs/>
        </w:rPr>
        <w:t>.</w:t>
      </w:r>
      <w:r w:rsidRPr="00813CBA">
        <w:t xml:space="preserve"> </w:t>
      </w:r>
      <w:r>
        <w:t xml:space="preserve"> Washington</w:t>
      </w:r>
      <w:r w:rsidRPr="00813CBA">
        <w:t xml:space="preserve">, </w:t>
      </w:r>
      <w:r>
        <w:t>DC</w:t>
      </w:r>
      <w:r w:rsidRPr="00813CBA">
        <w:t>.</w:t>
      </w:r>
      <w:r>
        <w:t xml:space="preserve">: Author.  </w:t>
      </w:r>
      <w:r w:rsidRPr="00813CBA">
        <w:t xml:space="preserve">Retrieved from </w:t>
      </w:r>
      <w:hyperlink r:id="rId34" w:history="1">
        <w:r>
          <w:rPr>
            <w:rStyle w:val="Hyperlink"/>
          </w:rPr>
          <w:t>https://www.acf.hhs.gov/sites/default/files/cb/cfsr_r3_osri.pdf</w:t>
        </w:r>
      </w:hyperlink>
      <w:r>
        <w:t>.</w:t>
      </w:r>
    </w:p>
    <w:p w14:paraId="2D6211D4" w14:textId="77777777" w:rsidR="00C523C8" w:rsidRDefault="00C523C8" w:rsidP="00C523C8">
      <w:pPr>
        <w:spacing w:before="0" w:after="0" w:line="240" w:lineRule="auto"/>
      </w:pPr>
      <w:r>
        <w:t xml:space="preserve">Children's Bureau, U.S. Department of Health and Human Services (2020).  </w:t>
      </w:r>
      <w:r w:rsidRPr="007D01AF">
        <w:t xml:space="preserve">Child and </w:t>
      </w:r>
      <w:r>
        <w:t>f</w:t>
      </w:r>
      <w:r w:rsidRPr="007D01AF">
        <w:t xml:space="preserve">amily </w:t>
      </w:r>
    </w:p>
    <w:p w14:paraId="2652B41B" w14:textId="77777777" w:rsidR="00C523C8" w:rsidRPr="006F505F" w:rsidRDefault="00C523C8" w:rsidP="00C523C8">
      <w:pPr>
        <w:spacing w:before="0" w:after="0" w:line="240" w:lineRule="auto"/>
        <w:ind w:left="720"/>
        <w:rPr>
          <w:color w:val="0563C1"/>
          <w:u w:val="single"/>
        </w:rPr>
      </w:pPr>
      <w:r>
        <w:t>s</w:t>
      </w:r>
      <w:r w:rsidRPr="007D01AF">
        <w:t xml:space="preserve">ervices </w:t>
      </w:r>
      <w:r>
        <w:t>r</w:t>
      </w:r>
      <w:r w:rsidRPr="007D01AF">
        <w:t xml:space="preserve">eviews </w:t>
      </w:r>
      <w:r>
        <w:t>a</w:t>
      </w:r>
      <w:r w:rsidRPr="007D01AF">
        <w:t xml:space="preserve">ggregate </w:t>
      </w:r>
      <w:r>
        <w:t>r</w:t>
      </w:r>
      <w:r w:rsidRPr="007D01AF">
        <w:t>eport: Round 3: Fiscal Years 2015–2018.</w:t>
      </w:r>
      <w:r>
        <w:t xml:space="preserve">  Washington, DC:  Author.  Retrieved from </w:t>
      </w:r>
      <w:hyperlink r:id="rId35" w:history="1">
        <w:r>
          <w:rPr>
            <w:rStyle w:val="Hyperlink"/>
          </w:rPr>
          <w:t>https://www.acf.hhs.gov/cb/resource/cfsr-aggregate-report-round3</w:t>
        </w:r>
      </w:hyperlink>
    </w:p>
    <w:p w14:paraId="4DD42B3A" w14:textId="77777777" w:rsidR="00C523C8" w:rsidRDefault="00C523C8" w:rsidP="00C523C8">
      <w:pPr>
        <w:spacing w:before="0" w:after="0"/>
      </w:pPr>
      <w:r>
        <w:t xml:space="preserve">Fixsen, D.L., Naoom, S. F., Blasé, K. A., Friedman, R. M. &amp; Wallace, F. (2005).   </w:t>
      </w:r>
    </w:p>
    <w:p w14:paraId="5F8B2B7B" w14:textId="77777777" w:rsidR="00C523C8" w:rsidRDefault="00C523C8" w:rsidP="00C523C8">
      <w:pPr>
        <w:spacing w:before="0" w:after="0"/>
        <w:ind w:left="720"/>
        <w:rPr>
          <w:color w:val="0000FF"/>
          <w:u w:val="single"/>
        </w:rPr>
      </w:pPr>
      <w:r w:rsidRPr="007D01AF">
        <w:t xml:space="preserve">Implementation </w:t>
      </w:r>
      <w:r>
        <w:t>r</w:t>
      </w:r>
      <w:r w:rsidRPr="007D01AF">
        <w:t xml:space="preserve">esearch:  A </w:t>
      </w:r>
      <w:r>
        <w:t>s</w:t>
      </w:r>
      <w:r w:rsidRPr="007D01AF">
        <w:t xml:space="preserve">ynthesis of the </w:t>
      </w:r>
      <w:r>
        <w:t>l</w:t>
      </w:r>
      <w:r w:rsidRPr="007D01AF">
        <w:t>iterature</w:t>
      </w:r>
      <w:r w:rsidRPr="00F76343">
        <w:rPr>
          <w:i/>
          <w:iCs/>
        </w:rPr>
        <w:t>.</w:t>
      </w:r>
      <w:r>
        <w:t xml:space="preserve"> Tampa, FL: University of South Florida, Louis de la Parte Florida Mental Health Institute, National Implementation Research Network (FMHI Publication # 231), p. 94.  Retrieved from: </w:t>
      </w:r>
      <w:hyperlink r:id="rId36" w:history="1">
        <w:r w:rsidRPr="0006779A">
          <w:rPr>
            <w:color w:val="0000FF"/>
            <w:u w:val="single"/>
          </w:rPr>
          <w:t>https://nirn.fpg.unc.edu/resources/implementation-research-synthesis-literature</w:t>
        </w:r>
      </w:hyperlink>
    </w:p>
    <w:p w14:paraId="790FFE99" w14:textId="77777777" w:rsidR="00C523C8" w:rsidRDefault="00C523C8" w:rsidP="00C523C8">
      <w:pPr>
        <w:spacing w:before="0" w:after="0"/>
        <w:rPr>
          <w:rStyle w:val="Emphasis"/>
          <w:rFonts w:cs="Arial"/>
          <w:i w:val="0"/>
          <w:iCs w:val="0"/>
          <w:color w:val="212121"/>
          <w:shd w:val="clear" w:color="auto" w:fill="FFFFFF"/>
        </w:rPr>
      </w:pPr>
      <w:r w:rsidRPr="004E1808">
        <w:rPr>
          <w:rFonts w:cs="Arial"/>
          <w:color w:val="212121"/>
          <w:shd w:val="clear" w:color="auto" w:fill="FFFFFF"/>
        </w:rPr>
        <w:t xml:space="preserve">Gentry, C. E., &amp; U.S. Department of Health and Human Services. (1994).  </w:t>
      </w:r>
      <w:r w:rsidRPr="006F505F">
        <w:rPr>
          <w:rStyle w:val="Emphasis"/>
          <w:rFonts w:cs="Arial"/>
          <w:i w:val="0"/>
          <w:iCs w:val="0"/>
          <w:color w:val="212121"/>
          <w:shd w:val="clear" w:color="auto" w:fill="FFFFFF"/>
        </w:rPr>
        <w:t xml:space="preserve">Crisis </w:t>
      </w:r>
      <w:r>
        <w:rPr>
          <w:rStyle w:val="Emphasis"/>
          <w:rFonts w:cs="Arial"/>
          <w:i w:val="0"/>
          <w:iCs w:val="0"/>
          <w:color w:val="212121"/>
          <w:shd w:val="clear" w:color="auto" w:fill="FFFFFF"/>
        </w:rPr>
        <w:t>o</w:t>
      </w:r>
      <w:r w:rsidRPr="006F505F">
        <w:rPr>
          <w:rStyle w:val="Emphasis"/>
          <w:rFonts w:cs="Arial"/>
          <w:i w:val="0"/>
          <w:iCs w:val="0"/>
          <w:color w:val="212121"/>
          <w:shd w:val="clear" w:color="auto" w:fill="FFFFFF"/>
        </w:rPr>
        <w:t xml:space="preserve">ntervention in </w:t>
      </w:r>
    </w:p>
    <w:p w14:paraId="75A72984" w14:textId="77777777" w:rsidR="00C523C8" w:rsidRDefault="00C523C8" w:rsidP="00C523C8">
      <w:pPr>
        <w:spacing w:before="0" w:after="0"/>
        <w:ind w:left="720"/>
        <w:rPr>
          <w:rFonts w:cs="Arial"/>
        </w:rPr>
      </w:pPr>
      <w:r>
        <w:rPr>
          <w:rStyle w:val="Emphasis"/>
          <w:rFonts w:cs="Arial"/>
          <w:i w:val="0"/>
          <w:iCs w:val="0"/>
          <w:color w:val="212121"/>
          <w:shd w:val="clear" w:color="auto" w:fill="FFFFFF"/>
        </w:rPr>
        <w:t>c</w:t>
      </w:r>
      <w:r w:rsidRPr="006F505F">
        <w:rPr>
          <w:rStyle w:val="Emphasis"/>
          <w:rFonts w:cs="Arial"/>
          <w:i w:val="0"/>
          <w:iCs w:val="0"/>
          <w:color w:val="212121"/>
          <w:shd w:val="clear" w:color="auto" w:fill="FFFFFF"/>
        </w:rPr>
        <w:t xml:space="preserve">hild </w:t>
      </w:r>
      <w:r>
        <w:rPr>
          <w:rStyle w:val="Emphasis"/>
          <w:rFonts w:cs="Arial"/>
          <w:i w:val="0"/>
          <w:iCs w:val="0"/>
          <w:color w:val="212121"/>
          <w:shd w:val="clear" w:color="auto" w:fill="FFFFFF"/>
        </w:rPr>
        <w:t>a</w:t>
      </w:r>
      <w:r w:rsidRPr="006F505F">
        <w:rPr>
          <w:rStyle w:val="Emphasis"/>
          <w:rFonts w:cs="Arial"/>
          <w:i w:val="0"/>
          <w:iCs w:val="0"/>
          <w:color w:val="212121"/>
          <w:shd w:val="clear" w:color="auto" w:fill="FFFFFF"/>
        </w:rPr>
        <w:t xml:space="preserve">buse and </w:t>
      </w:r>
      <w:r>
        <w:rPr>
          <w:rStyle w:val="Emphasis"/>
          <w:rFonts w:cs="Arial"/>
          <w:i w:val="0"/>
          <w:iCs w:val="0"/>
          <w:color w:val="212121"/>
          <w:shd w:val="clear" w:color="auto" w:fill="FFFFFF"/>
        </w:rPr>
        <w:t>n</w:t>
      </w:r>
      <w:r w:rsidRPr="006F505F">
        <w:rPr>
          <w:rStyle w:val="Emphasis"/>
          <w:rFonts w:cs="Arial"/>
          <w:i w:val="0"/>
          <w:iCs w:val="0"/>
          <w:color w:val="212121"/>
          <w:shd w:val="clear" w:color="auto" w:fill="FFFFFF"/>
        </w:rPr>
        <w:t>eglect.</w:t>
      </w:r>
      <w:r w:rsidRPr="004E1808">
        <w:rPr>
          <w:rFonts w:cs="Arial"/>
          <w:color w:val="212121"/>
          <w:shd w:val="clear" w:color="auto" w:fill="FFFFFF"/>
        </w:rPr>
        <w:t xml:space="preserve">  Washington, DC: </w:t>
      </w:r>
      <w:r>
        <w:rPr>
          <w:rFonts w:cs="Arial"/>
          <w:color w:val="212121"/>
          <w:shd w:val="clear" w:color="auto" w:fill="FFFFFF"/>
        </w:rPr>
        <w:t xml:space="preserve">Children's Bureau, </w:t>
      </w:r>
      <w:r w:rsidRPr="004E1808">
        <w:rPr>
          <w:rFonts w:cs="Arial"/>
          <w:color w:val="212121"/>
          <w:shd w:val="clear" w:color="auto" w:fill="FFFFFF"/>
        </w:rPr>
        <w:t>U.S. Department of Health and Human Services. Retrieved from</w:t>
      </w:r>
      <w:r>
        <w:rPr>
          <w:rFonts w:cs="Arial"/>
          <w:color w:val="212121"/>
          <w:shd w:val="clear" w:color="auto" w:fill="FFFFFF"/>
        </w:rPr>
        <w:t>:</w:t>
      </w:r>
      <w:r w:rsidRPr="004E1808">
        <w:rPr>
          <w:rFonts w:cs="Arial"/>
          <w:color w:val="212121"/>
          <w:shd w:val="clear" w:color="auto" w:fill="FFFFFF"/>
        </w:rPr>
        <w:t xml:space="preserve"> </w:t>
      </w:r>
      <w:hyperlink r:id="rId37" w:history="1">
        <w:r w:rsidRPr="004E1808">
          <w:rPr>
            <w:rStyle w:val="Hyperlink"/>
            <w:rFonts w:cs="Arial"/>
          </w:rPr>
          <w:t>https://www.childwelfare.gov/pubs/usermanuals/crisis/</w:t>
        </w:r>
      </w:hyperlink>
      <w:r w:rsidRPr="004E1808">
        <w:rPr>
          <w:rFonts w:cs="Arial"/>
        </w:rPr>
        <w:t>.</w:t>
      </w:r>
    </w:p>
    <w:p w14:paraId="28F0A990" w14:textId="77777777" w:rsidR="00C523C8" w:rsidRDefault="00C523C8" w:rsidP="00C523C8">
      <w:pPr>
        <w:spacing w:before="0" w:after="0"/>
        <w:rPr>
          <w:rFonts w:cs="Arial"/>
          <w:shd w:val="clear" w:color="auto" w:fill="FFFFFF"/>
        </w:rPr>
      </w:pPr>
      <w:r w:rsidRPr="005D3459">
        <w:rPr>
          <w:rFonts w:cs="Arial"/>
          <w:shd w:val="clear" w:color="auto" w:fill="FFFFFF"/>
        </w:rPr>
        <w:t xml:space="preserve">James, Sigrid et al. </w:t>
      </w:r>
      <w:r>
        <w:rPr>
          <w:rFonts w:cs="Arial"/>
          <w:shd w:val="clear" w:color="auto" w:fill="FFFFFF"/>
        </w:rPr>
        <w:t xml:space="preserve">(2008).  </w:t>
      </w:r>
      <w:r w:rsidRPr="005D3459">
        <w:rPr>
          <w:rFonts w:cs="Arial"/>
          <w:shd w:val="clear" w:color="auto" w:fill="FFFFFF"/>
        </w:rPr>
        <w:t xml:space="preserve">Maintaining sibling relationships for children in foster and adoptive </w:t>
      </w:r>
    </w:p>
    <w:p w14:paraId="33A5AF7D" w14:textId="77777777" w:rsidR="00C523C8" w:rsidRPr="006F505F" w:rsidRDefault="00C523C8" w:rsidP="00C523C8">
      <w:pPr>
        <w:spacing w:before="0" w:after="0"/>
        <w:ind w:firstLine="720"/>
        <w:rPr>
          <w:sz w:val="24"/>
        </w:rPr>
      </w:pPr>
      <w:r w:rsidRPr="005D3459">
        <w:rPr>
          <w:rFonts w:cs="Arial"/>
          <w:shd w:val="clear" w:color="auto" w:fill="FFFFFF"/>
        </w:rPr>
        <w:lastRenderedPageBreak/>
        <w:t>placements.</w:t>
      </w:r>
      <w:r>
        <w:rPr>
          <w:rFonts w:cs="Arial"/>
          <w:shd w:val="clear" w:color="auto" w:fill="FFFFFF"/>
        </w:rPr>
        <w:t xml:space="preserve">  </w:t>
      </w:r>
      <w:r w:rsidRPr="005D3459">
        <w:rPr>
          <w:rFonts w:cs="Arial"/>
          <w:i/>
          <w:iCs/>
          <w:shd w:val="clear" w:color="auto" w:fill="FFFFFF"/>
        </w:rPr>
        <w:t>Children and Youth Services Review</w:t>
      </w:r>
      <w:r>
        <w:rPr>
          <w:rFonts w:cs="Arial"/>
          <w:shd w:val="clear" w:color="auto" w:fill="FFFFFF"/>
        </w:rPr>
        <w:t>,</w:t>
      </w:r>
      <w:r w:rsidRPr="004E1808">
        <w:rPr>
          <w:rFonts w:cs="Arial"/>
          <w:i/>
          <w:iCs/>
          <w:shd w:val="clear" w:color="auto" w:fill="FFFFFF"/>
        </w:rPr>
        <w:t xml:space="preserve"> 30(1)</w:t>
      </w:r>
      <w:r>
        <w:rPr>
          <w:rFonts w:cs="Arial"/>
          <w:shd w:val="clear" w:color="auto" w:fill="FFFFFF"/>
        </w:rPr>
        <w:t>,</w:t>
      </w:r>
      <w:r w:rsidRPr="005D3459">
        <w:rPr>
          <w:rFonts w:cs="Arial"/>
          <w:shd w:val="clear" w:color="auto" w:fill="FFFFFF"/>
        </w:rPr>
        <w:t xml:space="preserve"> 90-106.</w:t>
      </w:r>
    </w:p>
    <w:p w14:paraId="764A0E65" w14:textId="77777777" w:rsidR="00C523C8" w:rsidRDefault="00C523C8" w:rsidP="00C523C8">
      <w:pPr>
        <w:spacing w:before="0" w:after="0" w:line="240" w:lineRule="auto"/>
      </w:pPr>
      <w:r w:rsidRPr="00C5714E">
        <w:t>Jonson-Reid, M., Emery, C.R., Drake, B. &amp; Stahlschmidt, M.J. (2010)</w:t>
      </w:r>
      <w:r>
        <w:t xml:space="preserve">.  </w:t>
      </w:r>
      <w:r w:rsidRPr="00C5714E">
        <w:t xml:space="preserve">Understanding </w:t>
      </w:r>
    </w:p>
    <w:p w14:paraId="12173D8B" w14:textId="77777777" w:rsidR="00C523C8" w:rsidRPr="007D01AF" w:rsidRDefault="00C523C8" w:rsidP="00C523C8">
      <w:pPr>
        <w:spacing w:before="0" w:after="0" w:line="240" w:lineRule="auto"/>
        <w:ind w:firstLine="720"/>
      </w:pPr>
      <w:r>
        <w:t>c</w:t>
      </w:r>
      <w:r w:rsidRPr="00C5714E">
        <w:t xml:space="preserve">hronically </w:t>
      </w:r>
      <w:r>
        <w:t>r</w:t>
      </w:r>
      <w:r w:rsidRPr="00C5714E">
        <w:t xml:space="preserve">eported </w:t>
      </w:r>
      <w:r>
        <w:t>f</w:t>
      </w:r>
      <w:r w:rsidRPr="00C5714E">
        <w:t>amilies</w:t>
      </w:r>
      <w:r>
        <w:t xml:space="preserve">.  </w:t>
      </w:r>
      <w:r w:rsidRPr="00F76071">
        <w:rPr>
          <w:i/>
          <w:iCs/>
        </w:rPr>
        <w:t>Child Maltreatment 15</w:t>
      </w:r>
      <w:r w:rsidRPr="00C5714E">
        <w:t>, 271-281</w:t>
      </w:r>
    </w:p>
    <w:p w14:paraId="20A0B2EC" w14:textId="77777777" w:rsidR="00C523C8" w:rsidRDefault="00C523C8" w:rsidP="00C523C8">
      <w:pPr>
        <w:spacing w:before="0" w:after="0"/>
      </w:pPr>
      <w:r>
        <w:t xml:space="preserve">Pecora P.J., Chahine Z., Graham J.C. (2013).  Safety and risk assessment frameworks: </w:t>
      </w:r>
    </w:p>
    <w:p w14:paraId="4FFCCEC4" w14:textId="77777777" w:rsidR="00C523C8" w:rsidRDefault="00C523C8" w:rsidP="00C523C8">
      <w:pPr>
        <w:spacing w:before="0" w:after="0"/>
        <w:ind w:firstLine="720"/>
      </w:pPr>
      <w:r>
        <w:t xml:space="preserve">Overview and implications for child maltreatment fatalities. </w:t>
      </w:r>
      <w:r>
        <w:rPr>
          <w:i/>
          <w:iCs/>
        </w:rPr>
        <w:t>Child Welfare</w:t>
      </w:r>
      <w:r>
        <w:t xml:space="preserve"> </w:t>
      </w:r>
      <w:r w:rsidRPr="00665730">
        <w:rPr>
          <w:i/>
          <w:iCs/>
        </w:rPr>
        <w:t>92(2)</w:t>
      </w:r>
      <w:r>
        <w:t>, 143-160.</w:t>
      </w:r>
    </w:p>
    <w:p w14:paraId="30951689" w14:textId="77777777" w:rsidR="00C523C8" w:rsidRDefault="00C523C8" w:rsidP="00C523C8">
      <w:pPr>
        <w:spacing w:before="0" w:after="0"/>
      </w:pPr>
      <w:r w:rsidRPr="00637825">
        <w:t xml:space="preserve">Juhasz, I., &amp; Skivenes, M. (2018). Child welfare workers’ experiences of obstacles in care order </w:t>
      </w:r>
    </w:p>
    <w:p w14:paraId="628E5DBC" w14:textId="77777777" w:rsidR="00C523C8" w:rsidRDefault="00C523C8" w:rsidP="00C523C8">
      <w:pPr>
        <w:spacing w:before="0" w:after="0"/>
        <w:ind w:left="720"/>
      </w:pPr>
      <w:r w:rsidRPr="00637825">
        <w:t xml:space="preserve">preparation: </w:t>
      </w:r>
      <w:r>
        <w:t xml:space="preserve"> A</w:t>
      </w:r>
      <w:r w:rsidRPr="00637825">
        <w:t xml:space="preserve"> cross-country comparison.</w:t>
      </w:r>
      <w:r>
        <w:t xml:space="preserve">  </w:t>
      </w:r>
      <w:r w:rsidRPr="00637825">
        <w:rPr>
          <w:i/>
          <w:iCs/>
        </w:rPr>
        <w:t>European Journal of Social Work</w:t>
      </w:r>
      <w:r w:rsidRPr="00637825">
        <w:t>,</w:t>
      </w:r>
      <w:r>
        <w:t xml:space="preserve"> </w:t>
      </w:r>
      <w:r w:rsidRPr="00637825">
        <w:rPr>
          <w:i/>
          <w:iCs/>
        </w:rPr>
        <w:t>21</w:t>
      </w:r>
      <w:r w:rsidRPr="00637825">
        <w:t>(1), 100-113.</w:t>
      </w:r>
    </w:p>
    <w:p w14:paraId="0AAED895" w14:textId="77777777" w:rsidR="00C523C8" w:rsidRDefault="00C523C8" w:rsidP="00C523C8">
      <w:pPr>
        <w:spacing w:before="0" w:after="0"/>
      </w:pPr>
      <w:r>
        <w:t xml:space="preserve">Office of Child Welfare, Florida Department of Children and Families (2016).  Case </w:t>
      </w:r>
    </w:p>
    <w:p w14:paraId="70B77317" w14:textId="77777777" w:rsidR="00C523C8" w:rsidRPr="006F505F" w:rsidRDefault="00C523C8" w:rsidP="00C523C8">
      <w:pPr>
        <w:spacing w:before="0" w:after="0"/>
        <w:ind w:left="720"/>
        <w:rPr>
          <w:color w:val="0563C1"/>
          <w:u w:val="single"/>
        </w:rPr>
      </w:pPr>
      <w:r>
        <w:t xml:space="preserve">management pre-service curriculum:  Case transfer (Module 2-TG).  Retrieved from </w:t>
      </w:r>
      <w:hyperlink r:id="rId38" w:history="1">
        <w:r w:rsidRPr="003A02E2">
          <w:rPr>
            <w:rStyle w:val="Hyperlink"/>
          </w:rPr>
          <w:t>http://centerforchildwelfare.org/Preservice/CMSpecialityTrack/CM_M2_TG.pdf</w:t>
        </w:r>
      </w:hyperlink>
    </w:p>
    <w:p w14:paraId="48C72494" w14:textId="77777777" w:rsidR="00C523C8" w:rsidRDefault="00C523C8" w:rsidP="00C523C8">
      <w:pPr>
        <w:spacing w:before="0" w:after="0" w:line="240" w:lineRule="auto"/>
      </w:pPr>
      <w:r w:rsidRPr="00FE4577">
        <w:t>Proctor, Laura J., et al</w:t>
      </w:r>
      <w:r>
        <w:t xml:space="preserve">. (2012).  </w:t>
      </w:r>
      <w:r w:rsidRPr="00FE4577">
        <w:t xml:space="preserve">Trajectories of maltreatment re-reports from ages 4 to 12: </w:t>
      </w:r>
    </w:p>
    <w:p w14:paraId="1AD318E9" w14:textId="77777777" w:rsidR="00C523C8" w:rsidRPr="007D01AF" w:rsidRDefault="00C523C8" w:rsidP="00C523C8">
      <w:pPr>
        <w:spacing w:before="0" w:after="0" w:line="240" w:lineRule="auto"/>
        <w:ind w:firstLine="720"/>
      </w:pPr>
      <w:r w:rsidRPr="00FE4577">
        <w:t>Evidence for persistent risk after early exposure.</w:t>
      </w:r>
      <w:r>
        <w:t xml:space="preserve"> </w:t>
      </w:r>
      <w:r w:rsidRPr="00FE4577">
        <w:t xml:space="preserve"> </w:t>
      </w:r>
      <w:r w:rsidRPr="00F76071">
        <w:rPr>
          <w:i/>
          <w:iCs/>
        </w:rPr>
        <w:t xml:space="preserve">Child </w:t>
      </w:r>
      <w:r>
        <w:rPr>
          <w:i/>
          <w:iCs/>
        </w:rPr>
        <w:t>M</w:t>
      </w:r>
      <w:r w:rsidRPr="00F76071">
        <w:rPr>
          <w:i/>
          <w:iCs/>
        </w:rPr>
        <w:t>altreatment 17</w:t>
      </w:r>
      <w:r>
        <w:rPr>
          <w:i/>
          <w:iCs/>
        </w:rPr>
        <w:t>(</w:t>
      </w:r>
      <w:r w:rsidRPr="00F76071">
        <w:rPr>
          <w:i/>
          <w:iCs/>
        </w:rPr>
        <w:t>3</w:t>
      </w:r>
      <w:r>
        <w:rPr>
          <w:i/>
          <w:iCs/>
        </w:rPr>
        <w:t>)</w:t>
      </w:r>
      <w:r w:rsidRPr="00FE4577">
        <w:t>: 207-217.</w:t>
      </w:r>
    </w:p>
    <w:p w14:paraId="2F6F5FA3" w14:textId="77777777" w:rsidR="00C523C8" w:rsidRDefault="00C523C8" w:rsidP="00C523C8">
      <w:pPr>
        <w:spacing w:before="0" w:after="0" w:line="240" w:lineRule="auto"/>
      </w:pPr>
      <w:r>
        <w:t xml:space="preserve">Substance Abuse and Mental Health Services Administration (2020).  </w:t>
      </w:r>
      <w:r w:rsidRPr="007D01AF">
        <w:t xml:space="preserve">National </w:t>
      </w:r>
      <w:r>
        <w:t>g</w:t>
      </w:r>
      <w:r w:rsidRPr="007D01AF">
        <w:t xml:space="preserve">uidelines for </w:t>
      </w:r>
    </w:p>
    <w:p w14:paraId="5EB4C482" w14:textId="77777777" w:rsidR="00C523C8" w:rsidRDefault="00C523C8" w:rsidP="00C523C8">
      <w:pPr>
        <w:spacing w:before="0" w:after="0" w:line="240" w:lineRule="auto"/>
        <w:ind w:left="720"/>
        <w:rPr>
          <w:rFonts w:ascii="Segoe UI" w:hAnsi="Segoe UI" w:cs="Segoe UI"/>
          <w:color w:val="0000FF"/>
          <w:sz w:val="21"/>
          <w:szCs w:val="21"/>
          <w:u w:val="single"/>
        </w:rPr>
      </w:pPr>
      <w:r>
        <w:t>b</w:t>
      </w:r>
      <w:r w:rsidRPr="007D01AF">
        <w:t xml:space="preserve">ehavioral </w:t>
      </w:r>
      <w:r>
        <w:t>h</w:t>
      </w:r>
      <w:r w:rsidRPr="007D01AF">
        <w:t xml:space="preserve">ealth </w:t>
      </w:r>
      <w:r>
        <w:t>c</w:t>
      </w:r>
      <w:r w:rsidRPr="007D01AF">
        <w:t xml:space="preserve">risis </w:t>
      </w:r>
      <w:r>
        <w:t>c</w:t>
      </w:r>
      <w:r w:rsidRPr="007D01AF">
        <w:t xml:space="preserve">are:  Best </w:t>
      </w:r>
      <w:r>
        <w:t>p</w:t>
      </w:r>
      <w:r w:rsidRPr="007D01AF">
        <w:t xml:space="preserve">ractice </w:t>
      </w:r>
      <w:r>
        <w:t>t</w:t>
      </w:r>
      <w:r w:rsidRPr="007D01AF">
        <w:t>oolkit</w:t>
      </w:r>
      <w:r w:rsidRPr="00B26C1B">
        <w:rPr>
          <w:i/>
          <w:iCs/>
        </w:rPr>
        <w:t>.</w:t>
      </w:r>
      <w:r>
        <w:t xml:space="preserve">  Rockville, MD:  Substance Abuse and Mental Health Services Administration.  Retrieved from </w:t>
      </w:r>
      <w:hyperlink r:id="rId39" w:history="1">
        <w:r w:rsidRPr="00D45B86">
          <w:rPr>
            <w:rStyle w:val="Hyperlink"/>
            <w:rFonts w:ascii="Segoe UI" w:hAnsi="Segoe UI" w:cs="Segoe UI"/>
            <w:sz w:val="21"/>
            <w:szCs w:val="21"/>
          </w:rPr>
          <w:t>https://www.samhsa.gov/sites/default/files/national-guidelines-for-behavioral-health-crisis-care-02242020.pdf</w:t>
        </w:r>
      </w:hyperlink>
      <w:r>
        <w:rPr>
          <w:rFonts w:ascii="Segoe UI" w:hAnsi="Segoe UI" w:cs="Segoe UI"/>
          <w:color w:val="0000FF"/>
          <w:sz w:val="21"/>
          <w:szCs w:val="21"/>
          <w:u w:val="single"/>
        </w:rPr>
        <w:t>.</w:t>
      </w:r>
    </w:p>
    <w:p w14:paraId="57E39654" w14:textId="77777777" w:rsidR="00C523C8" w:rsidRDefault="00C523C8" w:rsidP="00C523C8">
      <w:pPr>
        <w:spacing w:before="0" w:after="0"/>
      </w:pPr>
      <w:r>
        <w:t xml:space="preserve">Sakai, C., Lin, H., &amp; Flores, G. (2011). Health outcomes and family services in kinship care: </w:t>
      </w:r>
    </w:p>
    <w:p w14:paraId="510AEBF5" w14:textId="77777777" w:rsidR="00C523C8" w:rsidRPr="006F505F" w:rsidRDefault="00C523C8" w:rsidP="00C523C8">
      <w:pPr>
        <w:spacing w:before="0" w:after="0"/>
        <w:ind w:left="720"/>
      </w:pPr>
      <w:r>
        <w:t xml:space="preserve">Analysis of a national sample of children in the child welfare system.  </w:t>
      </w:r>
      <w:r w:rsidRPr="004E1808">
        <w:rPr>
          <w:i/>
          <w:iCs/>
        </w:rPr>
        <w:t>Archives of Pediatrics &amp; Adolescent Medicine, 165(2)</w:t>
      </w:r>
      <w:r>
        <w:t>, 159-165.</w:t>
      </w:r>
    </w:p>
    <w:p w14:paraId="2B0AEEDF" w14:textId="77777777" w:rsidR="00C523C8" w:rsidRDefault="00C523C8" w:rsidP="00C523C8">
      <w:pPr>
        <w:spacing w:before="0" w:after="0"/>
        <w:rPr>
          <w:rFonts w:cs="Arial"/>
          <w:shd w:val="clear" w:color="auto" w:fill="FFFFFF"/>
        </w:rPr>
      </w:pPr>
      <w:r w:rsidRPr="00BD4BA8">
        <w:rPr>
          <w:rFonts w:cs="Arial"/>
          <w:shd w:val="clear" w:color="auto" w:fill="FFFFFF"/>
        </w:rPr>
        <w:t>Sinanan, Allison N. (2011)</w:t>
      </w:r>
      <w:r>
        <w:rPr>
          <w:rFonts w:cs="Arial"/>
          <w:shd w:val="clear" w:color="auto" w:fill="FFFFFF"/>
        </w:rPr>
        <w:t xml:space="preserve">. </w:t>
      </w:r>
      <w:r w:rsidRPr="00BD4BA8">
        <w:rPr>
          <w:rFonts w:cs="Arial"/>
          <w:shd w:val="clear" w:color="auto" w:fill="FFFFFF"/>
        </w:rPr>
        <w:t xml:space="preserve"> The impact of child, family, and child protective services factors on </w:t>
      </w:r>
    </w:p>
    <w:p w14:paraId="5D7AA4D2" w14:textId="77777777" w:rsidR="00C523C8" w:rsidRPr="007D01AF" w:rsidRDefault="00C523C8" w:rsidP="00C523C8">
      <w:pPr>
        <w:spacing w:before="0" w:after="0"/>
        <w:ind w:left="720"/>
        <w:rPr>
          <w:sz w:val="24"/>
        </w:rPr>
      </w:pPr>
      <w:r w:rsidRPr="00BD4BA8">
        <w:rPr>
          <w:rFonts w:cs="Arial"/>
          <w:shd w:val="clear" w:color="auto" w:fill="FFFFFF"/>
        </w:rPr>
        <w:t>reports of child sexual abuse recurrence.</w:t>
      </w:r>
      <w:r>
        <w:rPr>
          <w:rFonts w:cs="Arial"/>
          <w:shd w:val="clear" w:color="auto" w:fill="FFFFFF"/>
        </w:rPr>
        <w:t xml:space="preserve">  </w:t>
      </w:r>
      <w:r w:rsidRPr="00BD4BA8">
        <w:rPr>
          <w:rFonts w:cs="Arial"/>
          <w:i/>
          <w:iCs/>
          <w:shd w:val="clear" w:color="auto" w:fill="FFFFFF"/>
        </w:rPr>
        <w:t xml:space="preserve">Journal of </w:t>
      </w:r>
      <w:r>
        <w:rPr>
          <w:rFonts w:cs="Arial"/>
          <w:i/>
          <w:iCs/>
          <w:shd w:val="clear" w:color="auto" w:fill="FFFFFF"/>
        </w:rPr>
        <w:t>C</w:t>
      </w:r>
      <w:r w:rsidRPr="00BD4BA8">
        <w:rPr>
          <w:rFonts w:cs="Arial"/>
          <w:i/>
          <w:iCs/>
          <w:shd w:val="clear" w:color="auto" w:fill="FFFFFF"/>
        </w:rPr>
        <w:t xml:space="preserve">hild </w:t>
      </w:r>
      <w:r>
        <w:rPr>
          <w:rFonts w:cs="Arial"/>
          <w:i/>
          <w:iCs/>
          <w:shd w:val="clear" w:color="auto" w:fill="FFFFFF"/>
        </w:rPr>
        <w:t>S</w:t>
      </w:r>
      <w:r w:rsidRPr="00BD4BA8">
        <w:rPr>
          <w:rFonts w:cs="Arial"/>
          <w:i/>
          <w:iCs/>
          <w:shd w:val="clear" w:color="auto" w:fill="FFFFFF"/>
        </w:rPr>
        <w:t xml:space="preserve">exual </w:t>
      </w:r>
      <w:r>
        <w:rPr>
          <w:rFonts w:cs="Arial"/>
          <w:i/>
          <w:iCs/>
          <w:shd w:val="clear" w:color="auto" w:fill="FFFFFF"/>
        </w:rPr>
        <w:t>A</w:t>
      </w:r>
      <w:r w:rsidRPr="00BD4BA8">
        <w:rPr>
          <w:rFonts w:cs="Arial"/>
          <w:i/>
          <w:iCs/>
          <w:shd w:val="clear" w:color="auto" w:fill="FFFFFF"/>
        </w:rPr>
        <w:t>buse</w:t>
      </w:r>
      <w:r>
        <w:rPr>
          <w:rFonts w:cs="Arial"/>
          <w:shd w:val="clear" w:color="auto" w:fill="FFFFFF"/>
        </w:rPr>
        <w:t xml:space="preserve">, </w:t>
      </w:r>
      <w:r w:rsidRPr="003E4559">
        <w:rPr>
          <w:rFonts w:cs="Arial"/>
          <w:i/>
          <w:iCs/>
          <w:shd w:val="clear" w:color="auto" w:fill="FFFFFF"/>
        </w:rPr>
        <w:t>20(6)</w:t>
      </w:r>
      <w:r>
        <w:rPr>
          <w:rFonts w:cs="Arial"/>
          <w:shd w:val="clear" w:color="auto" w:fill="FFFFFF"/>
        </w:rPr>
        <w:t>,</w:t>
      </w:r>
      <w:r w:rsidRPr="00BD4BA8">
        <w:rPr>
          <w:rFonts w:cs="Arial"/>
          <w:shd w:val="clear" w:color="auto" w:fill="FFFFFF"/>
        </w:rPr>
        <w:t xml:space="preserve"> 657-676.</w:t>
      </w:r>
    </w:p>
    <w:p w14:paraId="4511F4E4" w14:textId="77777777" w:rsidR="00C523C8" w:rsidRDefault="00C523C8" w:rsidP="00C523C8">
      <w:pPr>
        <w:spacing w:before="0" w:after="0"/>
      </w:pPr>
      <w:r>
        <w:t xml:space="preserve">Topitzes, J., Grove, T., et al. (2019).  Trauma-responsive child welfare services: A mixed </w:t>
      </w:r>
    </w:p>
    <w:p w14:paraId="5CEC982E" w14:textId="77777777" w:rsidR="00C523C8" w:rsidRDefault="00C523C8" w:rsidP="00C523C8">
      <w:pPr>
        <w:spacing w:before="0" w:after="0"/>
        <w:ind w:left="720"/>
      </w:pPr>
      <w:r>
        <w:t xml:space="preserve">methods study assessing safety, stability, and permanency. </w:t>
      </w:r>
      <w:r w:rsidRPr="00AC6AEB">
        <w:rPr>
          <w:i/>
          <w:iCs/>
        </w:rPr>
        <w:t>Journal of Child Custody, 16</w:t>
      </w:r>
      <w:r>
        <w:rPr>
          <w:i/>
          <w:iCs/>
        </w:rPr>
        <w:t>(</w:t>
      </w:r>
      <w:r w:rsidRPr="00AC6AEB">
        <w:rPr>
          <w:i/>
          <w:iCs/>
        </w:rPr>
        <w:t>3</w:t>
      </w:r>
      <w:r>
        <w:rPr>
          <w:i/>
          <w:iCs/>
        </w:rPr>
        <w:t>)</w:t>
      </w:r>
      <w:r>
        <w:t xml:space="preserve">. </w:t>
      </w:r>
    </w:p>
    <w:p w14:paraId="7B97163E" w14:textId="77777777" w:rsidR="00C523C8" w:rsidRDefault="00C523C8" w:rsidP="00C523C8">
      <w:pPr>
        <w:spacing w:before="0" w:after="0"/>
        <w:rPr>
          <w:i/>
          <w:iCs/>
        </w:rPr>
      </w:pPr>
      <w:r w:rsidRPr="00E96244">
        <w:t>Trivedi, Shanta</w:t>
      </w:r>
      <w:r>
        <w:t xml:space="preserve">. (2019). </w:t>
      </w:r>
      <w:r w:rsidRPr="00E96244">
        <w:t xml:space="preserve"> </w:t>
      </w:r>
      <w:r>
        <w:t>T</w:t>
      </w:r>
      <w:r w:rsidRPr="00E96244">
        <w:t xml:space="preserve">he harm of child removal. </w:t>
      </w:r>
      <w:r w:rsidRPr="00E96244">
        <w:rPr>
          <w:i/>
          <w:iCs/>
        </w:rPr>
        <w:t xml:space="preserve">43 New York University Review of Law &amp; </w:t>
      </w:r>
    </w:p>
    <w:p w14:paraId="6E3D3A30" w14:textId="77777777" w:rsidR="00C523C8" w:rsidRDefault="00C523C8" w:rsidP="00C523C8">
      <w:pPr>
        <w:spacing w:before="0" w:after="0"/>
        <w:ind w:left="720"/>
      </w:pPr>
      <w:r w:rsidRPr="00E96244">
        <w:rPr>
          <w:i/>
          <w:iCs/>
        </w:rPr>
        <w:t>Social Change 523</w:t>
      </w:r>
      <w:r w:rsidRPr="00E96244">
        <w:t xml:space="preserve"> (2019), </w:t>
      </w:r>
      <w:r>
        <w:t>Retrieved from</w:t>
      </w:r>
      <w:r w:rsidRPr="00E96244">
        <w:t>:</w:t>
      </w:r>
      <w:r>
        <w:t xml:space="preserve"> </w:t>
      </w:r>
      <w:r w:rsidRPr="00E96244">
        <w:t xml:space="preserve"> </w:t>
      </w:r>
      <w:hyperlink r:id="rId40" w:history="1">
        <w:r w:rsidRPr="003A02E2">
          <w:rPr>
            <w:rStyle w:val="Hyperlink"/>
          </w:rPr>
          <w:t>https://ssrn.com/abstract=3341033 or http://dx.doi.org/10.2139/ssrn.3341033</w:t>
        </w:r>
      </w:hyperlink>
    </w:p>
    <w:p w14:paraId="3DEE3268" w14:textId="77777777" w:rsidR="00C523C8" w:rsidRDefault="00C523C8" w:rsidP="00C523C8">
      <w:pPr>
        <w:spacing w:before="0" w:after="0"/>
      </w:pPr>
      <w:r>
        <w:t xml:space="preserve">Winokur, M. A., Holtan, A., &amp; Batchelder, K. E. (2018). Systematic review of kinship care effects </w:t>
      </w:r>
    </w:p>
    <w:p w14:paraId="76109A11" w14:textId="77777777" w:rsidR="00C523C8" w:rsidRDefault="00C523C8" w:rsidP="00C523C8">
      <w:pPr>
        <w:spacing w:before="0" w:after="0"/>
        <w:ind w:left="720"/>
      </w:pPr>
      <w:r>
        <w:t xml:space="preserve">on safety, permanency, and well-being outcomes.  </w:t>
      </w:r>
      <w:r w:rsidRPr="00D3741F">
        <w:rPr>
          <w:i/>
          <w:iCs/>
        </w:rPr>
        <w:t>Research on Social Work Practice, 28(1)</w:t>
      </w:r>
      <w:r>
        <w:t>, 19-32.</w:t>
      </w:r>
    </w:p>
    <w:p w14:paraId="1CEEA0FF" w14:textId="75F379A8" w:rsidR="0025625E" w:rsidRPr="00C62EB7" w:rsidRDefault="0025625E" w:rsidP="00C62EB7">
      <w:pPr>
        <w:spacing w:before="0" w:after="160" w:line="259" w:lineRule="auto"/>
        <w:rPr>
          <w:rFonts w:cs="Arial"/>
        </w:rPr>
      </w:pPr>
    </w:p>
    <w:p w14:paraId="553D28E0" w14:textId="77777777" w:rsidR="0025625E" w:rsidRDefault="0025625E" w:rsidP="00443C6B">
      <w:pPr>
        <w:pBdr>
          <w:top w:val="single" w:sz="4" w:space="1" w:color="auto"/>
        </w:pBdr>
        <w:spacing w:line="23" w:lineRule="atLeast"/>
      </w:pPr>
    </w:p>
    <w:sectPr w:rsidR="0025625E" w:rsidSect="00D22079">
      <w:headerReference w:type="firs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D8DE" w14:textId="77777777" w:rsidR="00D82B6A" w:rsidRDefault="00D82B6A" w:rsidP="00246404">
      <w:pPr>
        <w:spacing w:before="0" w:after="0" w:line="240" w:lineRule="auto"/>
      </w:pPr>
      <w:r>
        <w:separator/>
      </w:r>
    </w:p>
  </w:endnote>
  <w:endnote w:type="continuationSeparator" w:id="0">
    <w:p w14:paraId="24735CE0" w14:textId="77777777" w:rsidR="00D82B6A" w:rsidRDefault="00D82B6A" w:rsidP="002464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67F8" w14:textId="18806D19" w:rsidR="003F13E2" w:rsidRDefault="003F13E2" w:rsidP="00D22079">
    <w:pPr>
      <w:pStyle w:val="Footer"/>
      <w:pBdr>
        <w:top w:val="single" w:sz="4" w:space="1" w:color="auto"/>
      </w:pBdr>
    </w:pPr>
    <w:r>
      <w:t>Quality Office</w:t>
    </w:r>
    <w:r>
      <w:tab/>
    </w:r>
    <w:r w:rsidR="005404E9">
      <w:t xml:space="preserve">December, </w:t>
    </w:r>
    <w:r w:rsidR="002B2306">
      <w:t>2022</w:t>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00372"/>
      <w:docPartObj>
        <w:docPartGallery w:val="Page Numbers (Bottom of Page)"/>
        <w:docPartUnique/>
      </w:docPartObj>
    </w:sdtPr>
    <w:sdtEndPr>
      <w:rPr>
        <w:color w:val="7F7F7F" w:themeColor="background1" w:themeShade="7F"/>
        <w:spacing w:val="60"/>
      </w:rPr>
    </w:sdtEndPr>
    <w:sdtContent>
      <w:p w14:paraId="7A7B7D0F" w14:textId="085411D8" w:rsidR="00AE4B39" w:rsidRDefault="00AE4B39" w:rsidP="00AE4B39">
        <w:pPr>
          <w:pStyle w:val="Footer"/>
          <w:pBdr>
            <w:top w:val="single" w:sz="4" w:space="1" w:color="D9D9D9" w:themeColor="background1" w:themeShade="D9"/>
          </w:pBdr>
        </w:pPr>
        <w:r>
          <w:t>Office of Quality and Innovation</w:t>
        </w:r>
        <w:r>
          <w:tab/>
          <w:t>July, 2022</w:t>
        </w:r>
        <w:r>
          <w:tab/>
          <w:t>Page 12</w:t>
        </w:r>
      </w:p>
    </w:sdtContent>
  </w:sdt>
  <w:p w14:paraId="2E4157FF" w14:textId="77777777" w:rsidR="00AE4B39" w:rsidRDefault="00AE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7BEA" w14:textId="427B2991" w:rsidR="003F13E2" w:rsidRDefault="00AE4B39" w:rsidP="00D22079">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rPr>
        <w:noProof/>
      </w:rPr>
      <w:t>2</w:t>
    </w:r>
    <w:r w:rsidR="003F13E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E585" w14:textId="4D0D937F" w:rsidR="003F13E2" w:rsidRDefault="00AE4B39" w:rsidP="00D22079">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rPr>
        <w:noProof/>
      </w:rPr>
      <w:t>2</w:t>
    </w:r>
    <w:r w:rsidR="003F13E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5447" w14:textId="7C9230FC" w:rsidR="003F13E2" w:rsidRDefault="00B515F6" w:rsidP="00450AA0">
    <w:pPr>
      <w:pStyle w:val="Footer"/>
      <w:pBdr>
        <w:top w:val="single" w:sz="4" w:space="1" w:color="auto"/>
      </w:pBdr>
    </w:pPr>
    <w:r>
      <w:t>Office of Quality and Innovation</w:t>
    </w:r>
    <w:r w:rsidR="003F13E2">
      <w:tab/>
    </w:r>
    <w:r>
      <w:t>July</w:t>
    </w:r>
    <w:r w:rsidR="002B2306">
      <w:t>, 2022</w:t>
    </w:r>
    <w:r w:rsidR="003F13E2">
      <w:tab/>
      <w:t xml:space="preserve">Page </w:t>
    </w:r>
    <w:r w:rsidR="003F13E2">
      <w:fldChar w:fldCharType="begin"/>
    </w:r>
    <w:r w:rsidR="003F13E2">
      <w:instrText xml:space="preserve"> PAGE   \* MERGEFORMAT </w:instrText>
    </w:r>
    <w:r w:rsidR="003F13E2">
      <w:fldChar w:fldCharType="separate"/>
    </w:r>
    <w:r w:rsidR="003F13E2">
      <w:t>47</w:t>
    </w:r>
    <w:r w:rsidR="003F13E2">
      <w:rPr>
        <w:noProof/>
      </w:rPr>
      <w:fldChar w:fldCharType="end"/>
    </w:r>
  </w:p>
  <w:p w14:paraId="46E3B22F" w14:textId="77777777" w:rsidR="003F13E2" w:rsidRDefault="003F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C184" w14:textId="77777777" w:rsidR="00D82B6A" w:rsidRDefault="00D82B6A" w:rsidP="00246404">
      <w:pPr>
        <w:spacing w:before="0" w:after="0" w:line="240" w:lineRule="auto"/>
      </w:pPr>
      <w:r>
        <w:separator/>
      </w:r>
    </w:p>
  </w:footnote>
  <w:footnote w:type="continuationSeparator" w:id="0">
    <w:p w14:paraId="61A8FAD3" w14:textId="77777777" w:rsidR="00D82B6A" w:rsidRDefault="00D82B6A" w:rsidP="00246404">
      <w:pPr>
        <w:spacing w:before="0" w:after="0" w:line="240" w:lineRule="auto"/>
      </w:pPr>
      <w:r>
        <w:continuationSeparator/>
      </w:r>
    </w:p>
  </w:footnote>
  <w:footnote w:id="1">
    <w:p w14:paraId="6141C995" w14:textId="46F84F0E" w:rsidR="001868AC" w:rsidRDefault="001868AC">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 w:id="2">
    <w:p w14:paraId="61BCFD33" w14:textId="77777777" w:rsidR="003F13E2" w:rsidRDefault="003F13E2" w:rsidP="00F42AFA">
      <w:pPr>
        <w:pStyle w:val="FootnoteText"/>
      </w:pPr>
      <w:r>
        <w:rPr>
          <w:rStyle w:val="FootnoteReference"/>
        </w:rPr>
        <w:footnoteRef/>
      </w:r>
      <w:r>
        <w:t xml:space="preserve"> </w:t>
      </w:r>
      <w:r w:rsidRPr="00224FE0">
        <w:rPr>
          <w:sz w:val="18"/>
          <w:szCs w:val="18"/>
        </w:rPr>
        <w:t>Relative or non-relative care includes Level 1 Placements.</w:t>
      </w:r>
    </w:p>
  </w:footnote>
  <w:footnote w:id="3">
    <w:p w14:paraId="2797D1E6" w14:textId="77777777" w:rsidR="001868AC" w:rsidRDefault="001868AC" w:rsidP="001868AC">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 w:id="4">
    <w:p w14:paraId="3CF9610C" w14:textId="77777777" w:rsidR="00C26000" w:rsidRDefault="00C26000" w:rsidP="00C26000">
      <w:pPr>
        <w:pStyle w:val="FootnoteText"/>
      </w:pPr>
      <w:r>
        <w:rPr>
          <w:rStyle w:val="FootnoteReference"/>
        </w:rPr>
        <w:footnoteRef/>
      </w:r>
      <w:r>
        <w:t xml:space="preserve"> Positive responses is in reference to whether a ‘Yes’ or ‘No’ response is the desired outcome for the question. Responses can also include exclusion. Please reference the CFSR-LOC Crosswalk for a list of exclusions for specific questions.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315E" w14:textId="787058E3" w:rsidR="003F13E2" w:rsidRDefault="003F13E2" w:rsidP="00976808">
    <w:pPr>
      <w:pStyle w:val="Header"/>
      <w:pBdr>
        <w:bottom w:val="single" w:sz="4" w:space="22" w:color="auto"/>
      </w:pBdr>
      <w:tabs>
        <w:tab w:val="clear" w:pos="4680"/>
        <w:tab w:val="clear" w:pos="9360"/>
        <w:tab w:val="center" w:pos="5400"/>
        <w:tab w:val="right" w:pos="10710"/>
      </w:tabs>
    </w:pPr>
    <w:r>
      <w:rPr>
        <w:noProof/>
      </w:rPr>
      <w:drawing>
        <wp:anchor distT="0" distB="0" distL="114300" distR="114300" simplePos="0" relativeHeight="251674624" behindDoc="0" locked="1" layoutInCell="1" allowOverlap="1" wp14:anchorId="3DE7DB10" wp14:editId="02CBC2F7">
          <wp:simplePos x="0" y="0"/>
          <wp:positionH relativeFrom="margin">
            <wp:align>left</wp:align>
          </wp:positionH>
          <wp:positionV relativeFrom="paragraph">
            <wp:posOffset>-114300</wp:posOffset>
          </wp:positionV>
          <wp:extent cx="2523490" cy="56642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r>
      <w:tab/>
      <w:t xml:space="preserve">                                                              Florida Department of Children and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BAF0" w14:textId="37665B08" w:rsidR="003F13E2" w:rsidRDefault="003F13E2" w:rsidP="00D22413">
    <w:pPr>
      <w:pStyle w:val="Header"/>
      <w:tabs>
        <w:tab w:val="clear" w:pos="9360"/>
        <w:tab w:val="left" w:pos="2430"/>
        <w:tab w:val="right" w:pos="105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B3D5" w14:textId="737CDC4F" w:rsidR="003F13E2" w:rsidRDefault="003F13E2" w:rsidP="00A3276A">
    <w:pPr>
      <w:pStyle w:val="Header"/>
      <w:pBdr>
        <w:bottom w:val="single" w:sz="4" w:space="1" w:color="auto"/>
      </w:pBdr>
      <w:tabs>
        <w:tab w:val="clear" w:pos="4680"/>
        <w:tab w:val="clear" w:pos="9360"/>
        <w:tab w:val="center" w:pos="5400"/>
        <w:tab w:val="right" w:pos="10710"/>
      </w:tabs>
      <w:jc w:val="right"/>
    </w:pPr>
    <w:r>
      <w:rPr>
        <w:noProof/>
      </w:rPr>
      <w:drawing>
        <wp:anchor distT="0" distB="0" distL="114300" distR="114300" simplePos="0" relativeHeight="251665408" behindDoc="0" locked="1" layoutInCell="1" allowOverlap="1" wp14:anchorId="7C2DD897" wp14:editId="008AA506">
          <wp:simplePos x="0" y="0"/>
          <wp:positionH relativeFrom="margin">
            <wp:align>left</wp:align>
          </wp:positionH>
          <wp:positionV relativeFrom="paragraph">
            <wp:posOffset>-209550</wp:posOffset>
          </wp:positionV>
          <wp:extent cx="2523490" cy="566420"/>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r>
      <w:tab/>
      <w:t xml:space="preserve">                                                       Florida Department of Children and Families                                                 </w:t>
    </w:r>
  </w:p>
  <w:p w14:paraId="2901D7C4" w14:textId="77777777" w:rsidR="003F13E2" w:rsidRDefault="003F13E2" w:rsidP="00ED1387">
    <w:pPr>
      <w:pStyle w:val="Header"/>
      <w:pBdr>
        <w:bottom w:val="single" w:sz="4" w:space="1" w:color="auto"/>
      </w:pBdr>
      <w:tabs>
        <w:tab w:val="clear" w:pos="4680"/>
        <w:tab w:val="clear" w:pos="9360"/>
        <w:tab w:val="center" w:pos="5400"/>
        <w:tab w:val="right" w:pos="10710"/>
      </w:tabs>
    </w:pPr>
  </w:p>
  <w:p w14:paraId="781552B9" w14:textId="110F5853" w:rsidR="003F13E2" w:rsidRDefault="003F13E2" w:rsidP="00ED1387">
    <w:pPr>
      <w:pStyle w:val="Header"/>
      <w:pBdr>
        <w:bottom w:val="single" w:sz="4" w:space="1" w:color="auto"/>
      </w:pBdr>
      <w:tabs>
        <w:tab w:val="clear" w:pos="4680"/>
        <w:tab w:val="clear" w:pos="9360"/>
        <w:tab w:val="center" w:pos="5400"/>
        <w:tab w:val="right" w:pos="10710"/>
      </w:tab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A72" w14:textId="5352F0AF" w:rsidR="003F13E2" w:rsidRDefault="003F13E2" w:rsidP="00A3276A">
    <w:pPr>
      <w:pStyle w:val="Header"/>
      <w:tabs>
        <w:tab w:val="clear" w:pos="9360"/>
        <w:tab w:val="left" w:pos="2430"/>
        <w:tab w:val="right" w:pos="10530"/>
      </w:tabs>
      <w:jc w:val="right"/>
    </w:pPr>
    <w:r>
      <w:rPr>
        <w:noProof/>
      </w:rPr>
      <mc:AlternateContent>
        <mc:Choice Requires="wps">
          <w:drawing>
            <wp:anchor distT="0" distB="0" distL="114300" distR="114300" simplePos="0" relativeHeight="251704320" behindDoc="0" locked="0" layoutInCell="1" allowOverlap="1" wp14:anchorId="2FE8595E" wp14:editId="3E87A902">
              <wp:simplePos x="0" y="0"/>
              <wp:positionH relativeFrom="column">
                <wp:posOffset>-560717</wp:posOffset>
              </wp:positionH>
              <wp:positionV relativeFrom="paragraph">
                <wp:posOffset>439947</wp:posOffset>
              </wp:positionV>
              <wp:extent cx="7108166" cy="14330"/>
              <wp:effectExtent l="0" t="0" r="36195" b="24130"/>
              <wp:wrapNone/>
              <wp:docPr id="52" name="Straight Connector 52"/>
              <wp:cNvGraphicFramePr/>
              <a:graphic xmlns:a="http://schemas.openxmlformats.org/drawingml/2006/main">
                <a:graphicData uri="http://schemas.microsoft.com/office/word/2010/wordprocessingShape">
                  <wps:wsp>
                    <wps:cNvCnPr/>
                    <wps:spPr>
                      <a:xfrm flipV="1">
                        <a:off x="0" y="0"/>
                        <a:ext cx="7108166" cy="14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4A532" id="Straight Connector 52"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44.15pt,34.65pt" to="515.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" strokecolor="black [3200]" strokeweight=".5pt">
              <v:stroke joinstyle="miter"/>
            </v:line>
          </w:pict>
        </mc:Fallback>
      </mc:AlternateContent>
    </w:r>
    <w:r>
      <w:t xml:space="preserve">Florida Department of Children and Families                                                 </w:t>
    </w:r>
    <w:r>
      <w:rPr>
        <w:noProof/>
      </w:rPr>
      <w:drawing>
        <wp:anchor distT="0" distB="0" distL="114300" distR="114300" simplePos="0" relativeHeight="251686912" behindDoc="0" locked="1" layoutInCell="1" allowOverlap="1" wp14:anchorId="693FA1FB" wp14:editId="3082EA90">
          <wp:simplePos x="0" y="0"/>
          <wp:positionH relativeFrom="margin">
            <wp:posOffset>-228600</wp:posOffset>
          </wp:positionH>
          <wp:positionV relativeFrom="paragraph">
            <wp:posOffset>-114300</wp:posOffset>
          </wp:positionV>
          <wp:extent cx="2523490" cy="566420"/>
          <wp:effectExtent l="0" t="0" r="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238B" w14:textId="77777777" w:rsidR="003F13E2" w:rsidRDefault="003F13E2" w:rsidP="00D22079">
    <w:pPr>
      <w:pStyle w:val="Header"/>
      <w:pBdr>
        <w:bottom w:val="single" w:sz="4" w:space="1" w:color="auto"/>
      </w:pBdr>
      <w:tabs>
        <w:tab w:val="clear" w:pos="4680"/>
      </w:tabs>
    </w:pPr>
    <w:r w:rsidRPr="000E4E38">
      <w:t>Cases Transferred to Case Management</w:t>
    </w:r>
    <w:r>
      <w:tab/>
      <w:t>Florida Department of Children and Families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4D90" w14:textId="77777777" w:rsidR="003F13E2" w:rsidRDefault="003F13E2" w:rsidP="00450AA0">
    <w:pPr>
      <w:pStyle w:val="Header"/>
      <w:pBdr>
        <w:bottom w:val="single" w:sz="4" w:space="1" w:color="auto"/>
      </w:pBdr>
      <w:tabs>
        <w:tab w:val="clear" w:pos="9360"/>
        <w:tab w:val="left" w:pos="2430"/>
        <w:tab w:val="right" w:pos="10530"/>
      </w:tabs>
      <w:jc w:val="right"/>
    </w:pPr>
    <w:r>
      <w:t>Florida Department of Children and Families</w:t>
    </w:r>
  </w:p>
  <w:p w14:paraId="6009ABB8" w14:textId="24A4DAD6" w:rsidR="003F13E2" w:rsidRDefault="003F13E2" w:rsidP="00840845">
    <w:pPr>
      <w:pStyle w:val="Header"/>
      <w:pBdr>
        <w:bottom w:val="single" w:sz="4" w:space="1" w:color="auto"/>
      </w:pBdr>
      <w:tabs>
        <w:tab w:val="clear" w:pos="4680"/>
        <w:tab w:val="clear" w:pos="9360"/>
        <w:tab w:val="center" w:pos="5400"/>
        <w:tab w:val="right" w:pos="10710"/>
      </w:tabs>
    </w:pPr>
    <w:r>
      <w:rPr>
        <w:noProof/>
      </w:rPr>
      <w:drawing>
        <wp:anchor distT="0" distB="0" distL="114300" distR="114300" simplePos="0" relativeHeight="251706368" behindDoc="0" locked="1" layoutInCell="1" allowOverlap="1" wp14:anchorId="636BFB1D" wp14:editId="2BD000B8">
          <wp:simplePos x="0" y="0"/>
          <wp:positionH relativeFrom="column">
            <wp:posOffset>-311150</wp:posOffset>
          </wp:positionH>
          <wp:positionV relativeFrom="paragraph">
            <wp:posOffset>-595630</wp:posOffset>
          </wp:positionV>
          <wp:extent cx="2523490" cy="566420"/>
          <wp:effectExtent l="0" t="0" r="0" b="508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357B" w14:textId="77777777" w:rsidR="003F13E2" w:rsidRDefault="003F13E2" w:rsidP="00976808">
    <w:pPr>
      <w:pStyle w:val="Header"/>
      <w:pBdr>
        <w:bottom w:val="single" w:sz="4" w:space="1" w:color="auto"/>
      </w:pBdr>
      <w:tabs>
        <w:tab w:val="clear" w:pos="9360"/>
        <w:tab w:val="left" w:pos="2430"/>
        <w:tab w:val="right" w:pos="10530"/>
      </w:tabs>
      <w:jc w:val="right"/>
    </w:pPr>
    <w:r>
      <w:t>Florida Department of Children and Families</w:t>
    </w:r>
  </w:p>
  <w:p w14:paraId="0F7D6759" w14:textId="196C1FEB" w:rsidR="003F13E2" w:rsidRDefault="003F13E2" w:rsidP="00D22413">
    <w:pPr>
      <w:pStyle w:val="Header"/>
      <w:tabs>
        <w:tab w:val="clear" w:pos="9360"/>
        <w:tab w:val="left" w:pos="2430"/>
        <w:tab w:val="right" w:pos="10530"/>
      </w:tabs>
    </w:pPr>
    <w:r>
      <w:rPr>
        <w:noProof/>
      </w:rPr>
      <w:drawing>
        <wp:anchor distT="0" distB="0" distL="114300" distR="114300" simplePos="0" relativeHeight="251691008" behindDoc="0" locked="1" layoutInCell="1" allowOverlap="1" wp14:anchorId="64113CAE" wp14:editId="072FB9CB">
          <wp:simplePos x="0" y="0"/>
          <wp:positionH relativeFrom="column">
            <wp:posOffset>-619125</wp:posOffset>
          </wp:positionH>
          <wp:positionV relativeFrom="paragraph">
            <wp:posOffset>-609600</wp:posOffset>
          </wp:positionV>
          <wp:extent cx="2523490" cy="566420"/>
          <wp:effectExtent l="0" t="0" r="0" b="508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5C1F" w14:textId="6B8F9D2D" w:rsidR="003F13E2" w:rsidRDefault="003F13E2" w:rsidP="00224FE0">
    <w:pPr>
      <w:pStyle w:val="Header"/>
      <w:spacing w:after="80"/>
      <w:jc w:val="right"/>
    </w:pPr>
    <w:r>
      <w:t>Florida Department of Children and Families</w:t>
    </w:r>
    <w:r>
      <w:rPr>
        <w:noProof/>
      </w:rPr>
      <w:t xml:space="preserve"> </w:t>
    </w:r>
    <w:r>
      <w:rPr>
        <w:noProof/>
      </w:rPr>
      <w:drawing>
        <wp:anchor distT="0" distB="0" distL="114300" distR="114300" simplePos="0" relativeHeight="251695104" behindDoc="0" locked="1" layoutInCell="1" allowOverlap="1" wp14:anchorId="6C48D4F7" wp14:editId="0B52E949">
          <wp:simplePos x="0" y="0"/>
          <wp:positionH relativeFrom="column">
            <wp:posOffset>-388620</wp:posOffset>
          </wp:positionH>
          <wp:positionV relativeFrom="paragraph">
            <wp:posOffset>-112395</wp:posOffset>
          </wp:positionV>
          <wp:extent cx="2523490" cy="566420"/>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F_Logo_Horz_color_transpBKGD_800x179.gif"/>
                  <pic:cNvPicPr/>
                </pic:nvPicPr>
                <pic:blipFill>
                  <a:blip r:embed="rId1">
                    <a:extLst>
                      <a:ext uri="{28A0092B-C50C-407E-A947-70E740481C1C}">
                        <a14:useLocalDpi xmlns:a14="http://schemas.microsoft.com/office/drawing/2010/main" val="0"/>
                      </a:ext>
                    </a:extLst>
                  </a:blip>
                  <a:stretch>
                    <a:fillRect/>
                  </a:stretch>
                </pic:blipFill>
                <pic:spPr>
                  <a:xfrm>
                    <a:off x="0" y="0"/>
                    <a:ext cx="2523490" cy="566420"/>
                  </a:xfrm>
                  <a:prstGeom prst="rect">
                    <a:avLst/>
                  </a:prstGeom>
                </pic:spPr>
              </pic:pic>
            </a:graphicData>
          </a:graphic>
          <wp14:sizeRelH relativeFrom="margin">
            <wp14:pctWidth>0</wp14:pctWidth>
          </wp14:sizeRelH>
          <wp14:sizeRelV relativeFrom="margin">
            <wp14:pctHeight>0</wp14:pctHeight>
          </wp14:sizeRelV>
        </wp:anchor>
      </w:drawing>
    </w:r>
  </w:p>
  <w:p w14:paraId="7539D91D" w14:textId="77777777" w:rsidR="003F13E2" w:rsidRDefault="003F13E2" w:rsidP="00EB175F">
    <w:pPr>
      <w:pStyle w:val="Header"/>
    </w:pPr>
  </w:p>
  <w:p w14:paraId="474B3528" w14:textId="77777777" w:rsidR="003F13E2" w:rsidRPr="00EB175F" w:rsidRDefault="003F13E2" w:rsidP="00EB1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CD1"/>
    <w:multiLevelType w:val="hybridMultilevel"/>
    <w:tmpl w:val="2A1E0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655F1"/>
    <w:multiLevelType w:val="hybridMultilevel"/>
    <w:tmpl w:val="F3C6A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A49BA"/>
    <w:multiLevelType w:val="hybridMultilevel"/>
    <w:tmpl w:val="CC0A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1D69"/>
    <w:multiLevelType w:val="hybridMultilevel"/>
    <w:tmpl w:val="DC44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B57FF"/>
    <w:multiLevelType w:val="hybridMultilevel"/>
    <w:tmpl w:val="4888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30C52"/>
    <w:multiLevelType w:val="hybridMultilevel"/>
    <w:tmpl w:val="0640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B648E"/>
    <w:multiLevelType w:val="hybridMultilevel"/>
    <w:tmpl w:val="CDEE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564807">
    <w:abstractNumId w:val="4"/>
  </w:num>
  <w:num w:numId="2" w16cid:durableId="415247861">
    <w:abstractNumId w:val="6"/>
  </w:num>
  <w:num w:numId="3" w16cid:durableId="1721051123">
    <w:abstractNumId w:val="3"/>
  </w:num>
  <w:num w:numId="4" w16cid:durableId="474565345">
    <w:abstractNumId w:val="5"/>
  </w:num>
  <w:num w:numId="5" w16cid:durableId="2030183716">
    <w:abstractNumId w:val="1"/>
  </w:num>
  <w:num w:numId="6" w16cid:durableId="108352433">
    <w:abstractNumId w:val="2"/>
  </w:num>
  <w:num w:numId="7" w16cid:durableId="79510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5F"/>
    <w:rsid w:val="00014DFC"/>
    <w:rsid w:val="00030187"/>
    <w:rsid w:val="00034470"/>
    <w:rsid w:val="00041CB5"/>
    <w:rsid w:val="0005077C"/>
    <w:rsid w:val="00063C30"/>
    <w:rsid w:val="0006779A"/>
    <w:rsid w:val="00072FBF"/>
    <w:rsid w:val="00083356"/>
    <w:rsid w:val="000842C2"/>
    <w:rsid w:val="00084B58"/>
    <w:rsid w:val="0009445D"/>
    <w:rsid w:val="0009663C"/>
    <w:rsid w:val="000A7AA0"/>
    <w:rsid w:val="000C2456"/>
    <w:rsid w:val="000D322A"/>
    <w:rsid w:val="000E4E38"/>
    <w:rsid w:val="000E68BA"/>
    <w:rsid w:val="00100999"/>
    <w:rsid w:val="001020EE"/>
    <w:rsid w:val="001046BF"/>
    <w:rsid w:val="0011587B"/>
    <w:rsid w:val="00116846"/>
    <w:rsid w:val="001200FA"/>
    <w:rsid w:val="00121D30"/>
    <w:rsid w:val="0013009B"/>
    <w:rsid w:val="00132494"/>
    <w:rsid w:val="00154F82"/>
    <w:rsid w:val="00164881"/>
    <w:rsid w:val="001651EA"/>
    <w:rsid w:val="001818EB"/>
    <w:rsid w:val="001868AC"/>
    <w:rsid w:val="001870D7"/>
    <w:rsid w:val="00191BF6"/>
    <w:rsid w:val="00194701"/>
    <w:rsid w:val="001C0779"/>
    <w:rsid w:val="001D5E43"/>
    <w:rsid w:val="001E6052"/>
    <w:rsid w:val="001F0394"/>
    <w:rsid w:val="00217FF4"/>
    <w:rsid w:val="002248E2"/>
    <w:rsid w:val="00224FE0"/>
    <w:rsid w:val="00246404"/>
    <w:rsid w:val="00246BF9"/>
    <w:rsid w:val="002479E7"/>
    <w:rsid w:val="0025625E"/>
    <w:rsid w:val="00257BD2"/>
    <w:rsid w:val="002640AE"/>
    <w:rsid w:val="00291033"/>
    <w:rsid w:val="0029133D"/>
    <w:rsid w:val="002B2306"/>
    <w:rsid w:val="002F13BE"/>
    <w:rsid w:val="002F5216"/>
    <w:rsid w:val="00300EDD"/>
    <w:rsid w:val="003111D5"/>
    <w:rsid w:val="003218CD"/>
    <w:rsid w:val="003255DE"/>
    <w:rsid w:val="00326B2E"/>
    <w:rsid w:val="00333D48"/>
    <w:rsid w:val="0033478F"/>
    <w:rsid w:val="003465CF"/>
    <w:rsid w:val="003667C7"/>
    <w:rsid w:val="003670AF"/>
    <w:rsid w:val="00391F60"/>
    <w:rsid w:val="003A217E"/>
    <w:rsid w:val="003C297D"/>
    <w:rsid w:val="003C7310"/>
    <w:rsid w:val="003D20E2"/>
    <w:rsid w:val="003D5627"/>
    <w:rsid w:val="003D58EC"/>
    <w:rsid w:val="003E56BB"/>
    <w:rsid w:val="003E5D96"/>
    <w:rsid w:val="003F13E2"/>
    <w:rsid w:val="003F2E28"/>
    <w:rsid w:val="004133A6"/>
    <w:rsid w:val="00425B31"/>
    <w:rsid w:val="004274CC"/>
    <w:rsid w:val="00434BB5"/>
    <w:rsid w:val="0043757B"/>
    <w:rsid w:val="00443C6B"/>
    <w:rsid w:val="00450AA0"/>
    <w:rsid w:val="00460085"/>
    <w:rsid w:val="00461002"/>
    <w:rsid w:val="00471ACC"/>
    <w:rsid w:val="004744CB"/>
    <w:rsid w:val="004777A2"/>
    <w:rsid w:val="004820FE"/>
    <w:rsid w:val="00485076"/>
    <w:rsid w:val="00490CF8"/>
    <w:rsid w:val="00491145"/>
    <w:rsid w:val="00495291"/>
    <w:rsid w:val="004A68F3"/>
    <w:rsid w:val="004D253A"/>
    <w:rsid w:val="004E1808"/>
    <w:rsid w:val="004E3C68"/>
    <w:rsid w:val="004F5B32"/>
    <w:rsid w:val="0050616A"/>
    <w:rsid w:val="005217FD"/>
    <w:rsid w:val="00532E2F"/>
    <w:rsid w:val="00534AF7"/>
    <w:rsid w:val="00536E30"/>
    <w:rsid w:val="005404E9"/>
    <w:rsid w:val="00545A71"/>
    <w:rsid w:val="00573A50"/>
    <w:rsid w:val="00594535"/>
    <w:rsid w:val="005C3A56"/>
    <w:rsid w:val="005E6D0F"/>
    <w:rsid w:val="005F7802"/>
    <w:rsid w:val="006031CD"/>
    <w:rsid w:val="00610FF2"/>
    <w:rsid w:val="0062529F"/>
    <w:rsid w:val="00625D94"/>
    <w:rsid w:val="006434EB"/>
    <w:rsid w:val="00644195"/>
    <w:rsid w:val="0066153C"/>
    <w:rsid w:val="00674972"/>
    <w:rsid w:val="006C137A"/>
    <w:rsid w:val="006D2E5C"/>
    <w:rsid w:val="006F3ADC"/>
    <w:rsid w:val="0071567A"/>
    <w:rsid w:val="00717A80"/>
    <w:rsid w:val="00724529"/>
    <w:rsid w:val="00726339"/>
    <w:rsid w:val="00727355"/>
    <w:rsid w:val="00735A19"/>
    <w:rsid w:val="007465E3"/>
    <w:rsid w:val="0075677B"/>
    <w:rsid w:val="00756FD0"/>
    <w:rsid w:val="007638F3"/>
    <w:rsid w:val="00767ABA"/>
    <w:rsid w:val="007756AD"/>
    <w:rsid w:val="00794BF9"/>
    <w:rsid w:val="007B1EDC"/>
    <w:rsid w:val="007B7E27"/>
    <w:rsid w:val="007C00D9"/>
    <w:rsid w:val="007C44D1"/>
    <w:rsid w:val="007D2901"/>
    <w:rsid w:val="007E2159"/>
    <w:rsid w:val="007F63E6"/>
    <w:rsid w:val="00823B50"/>
    <w:rsid w:val="0083148C"/>
    <w:rsid w:val="00835050"/>
    <w:rsid w:val="00840845"/>
    <w:rsid w:val="008429A6"/>
    <w:rsid w:val="00862F4D"/>
    <w:rsid w:val="00870440"/>
    <w:rsid w:val="00876AF4"/>
    <w:rsid w:val="0088277A"/>
    <w:rsid w:val="008925F4"/>
    <w:rsid w:val="008A65B0"/>
    <w:rsid w:val="008B1A6D"/>
    <w:rsid w:val="008B1DC0"/>
    <w:rsid w:val="008B2A1A"/>
    <w:rsid w:val="008D032B"/>
    <w:rsid w:val="008D68A5"/>
    <w:rsid w:val="008E5030"/>
    <w:rsid w:val="008E5654"/>
    <w:rsid w:val="008F120D"/>
    <w:rsid w:val="008F5069"/>
    <w:rsid w:val="009001D9"/>
    <w:rsid w:val="00904E9F"/>
    <w:rsid w:val="00912940"/>
    <w:rsid w:val="00946D54"/>
    <w:rsid w:val="00962EC1"/>
    <w:rsid w:val="00970B49"/>
    <w:rsid w:val="00971578"/>
    <w:rsid w:val="00976808"/>
    <w:rsid w:val="00980055"/>
    <w:rsid w:val="009816E8"/>
    <w:rsid w:val="00986553"/>
    <w:rsid w:val="00994CC0"/>
    <w:rsid w:val="009A0FE7"/>
    <w:rsid w:val="009A2FC5"/>
    <w:rsid w:val="009B3E08"/>
    <w:rsid w:val="009B4BEB"/>
    <w:rsid w:val="009B5375"/>
    <w:rsid w:val="009D5CD1"/>
    <w:rsid w:val="009F17E2"/>
    <w:rsid w:val="009F36A2"/>
    <w:rsid w:val="00A25C40"/>
    <w:rsid w:val="00A26187"/>
    <w:rsid w:val="00A26AE0"/>
    <w:rsid w:val="00A3276A"/>
    <w:rsid w:val="00A43E05"/>
    <w:rsid w:val="00A511A8"/>
    <w:rsid w:val="00A57A96"/>
    <w:rsid w:val="00A618AD"/>
    <w:rsid w:val="00A76DCE"/>
    <w:rsid w:val="00A84FA3"/>
    <w:rsid w:val="00AA25E7"/>
    <w:rsid w:val="00AD464D"/>
    <w:rsid w:val="00AE4B39"/>
    <w:rsid w:val="00AF473D"/>
    <w:rsid w:val="00B04A7D"/>
    <w:rsid w:val="00B1592C"/>
    <w:rsid w:val="00B1622B"/>
    <w:rsid w:val="00B16772"/>
    <w:rsid w:val="00B263AD"/>
    <w:rsid w:val="00B317DC"/>
    <w:rsid w:val="00B501F5"/>
    <w:rsid w:val="00B515F6"/>
    <w:rsid w:val="00B56EEE"/>
    <w:rsid w:val="00B70A4E"/>
    <w:rsid w:val="00B81D2C"/>
    <w:rsid w:val="00B84FCE"/>
    <w:rsid w:val="00BA073F"/>
    <w:rsid w:val="00BA5EB7"/>
    <w:rsid w:val="00BB5119"/>
    <w:rsid w:val="00BB6D36"/>
    <w:rsid w:val="00BC52FA"/>
    <w:rsid w:val="00BD0116"/>
    <w:rsid w:val="00BD1BFF"/>
    <w:rsid w:val="00BD6001"/>
    <w:rsid w:val="00BF3656"/>
    <w:rsid w:val="00C26000"/>
    <w:rsid w:val="00C47A93"/>
    <w:rsid w:val="00C523C8"/>
    <w:rsid w:val="00C60EE9"/>
    <w:rsid w:val="00C62EB7"/>
    <w:rsid w:val="00C659E9"/>
    <w:rsid w:val="00C701CE"/>
    <w:rsid w:val="00C719F0"/>
    <w:rsid w:val="00C91715"/>
    <w:rsid w:val="00C926D6"/>
    <w:rsid w:val="00CB6FB8"/>
    <w:rsid w:val="00CC5736"/>
    <w:rsid w:val="00CE1F47"/>
    <w:rsid w:val="00D033CE"/>
    <w:rsid w:val="00D057DA"/>
    <w:rsid w:val="00D22079"/>
    <w:rsid w:val="00D22413"/>
    <w:rsid w:val="00D3741F"/>
    <w:rsid w:val="00D60786"/>
    <w:rsid w:val="00D61C3D"/>
    <w:rsid w:val="00D721B8"/>
    <w:rsid w:val="00D82B6A"/>
    <w:rsid w:val="00D84673"/>
    <w:rsid w:val="00DA35FB"/>
    <w:rsid w:val="00DB01E5"/>
    <w:rsid w:val="00DC7BFD"/>
    <w:rsid w:val="00DD5817"/>
    <w:rsid w:val="00DE13AC"/>
    <w:rsid w:val="00DF76BF"/>
    <w:rsid w:val="00E053F2"/>
    <w:rsid w:val="00E06B74"/>
    <w:rsid w:val="00E159C9"/>
    <w:rsid w:val="00E215E1"/>
    <w:rsid w:val="00E51BA4"/>
    <w:rsid w:val="00E76350"/>
    <w:rsid w:val="00EB175F"/>
    <w:rsid w:val="00EB4F1E"/>
    <w:rsid w:val="00ED1387"/>
    <w:rsid w:val="00ED4638"/>
    <w:rsid w:val="00EE7B2C"/>
    <w:rsid w:val="00F05D8E"/>
    <w:rsid w:val="00F07322"/>
    <w:rsid w:val="00F14E02"/>
    <w:rsid w:val="00F160AD"/>
    <w:rsid w:val="00F320C4"/>
    <w:rsid w:val="00F33FA5"/>
    <w:rsid w:val="00F34256"/>
    <w:rsid w:val="00F42AFA"/>
    <w:rsid w:val="00F64612"/>
    <w:rsid w:val="00F94ECB"/>
    <w:rsid w:val="00F95110"/>
    <w:rsid w:val="00FB10F1"/>
    <w:rsid w:val="00FB1603"/>
    <w:rsid w:val="00FC4BF1"/>
    <w:rsid w:val="00FC6F13"/>
    <w:rsid w:val="00FD39D2"/>
    <w:rsid w:val="00FE1309"/>
    <w:rsid w:val="00FE1A35"/>
    <w:rsid w:val="00FF070B"/>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1BD0"/>
  <w15:chartTrackingRefBased/>
  <w15:docId w15:val="{B64BD23B-F989-4475-AC7C-48E1E57A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F2"/>
    <w:rPr>
      <w:rFonts w:ascii="Arial" w:hAnsi="Arial"/>
    </w:rPr>
  </w:style>
  <w:style w:type="paragraph" w:styleId="Heading1">
    <w:name w:val="heading 1"/>
    <w:basedOn w:val="Normal"/>
    <w:next w:val="Normal"/>
    <w:link w:val="Heading1Char"/>
    <w:qFormat/>
    <w:rsid w:val="00A26AE0"/>
    <w:pPr>
      <w:keepNext/>
      <w:keepLines/>
      <w:spacing w:before="0" w:after="160" w:line="240" w:lineRule="auto"/>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FF0F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404"/>
    <w:pPr>
      <w:tabs>
        <w:tab w:val="center" w:pos="4680"/>
        <w:tab w:val="right" w:pos="9360"/>
      </w:tabs>
      <w:spacing w:before="0" w:after="0" w:line="240" w:lineRule="auto"/>
    </w:pPr>
  </w:style>
  <w:style w:type="character" w:customStyle="1" w:styleId="HeaderChar">
    <w:name w:val="Header Char"/>
    <w:basedOn w:val="DefaultParagraphFont"/>
    <w:link w:val="Header"/>
    <w:rsid w:val="00246404"/>
    <w:rPr>
      <w:rFonts w:ascii="Arial" w:hAnsi="Arial"/>
    </w:rPr>
  </w:style>
  <w:style w:type="paragraph" w:styleId="Footer">
    <w:name w:val="footer"/>
    <w:basedOn w:val="Normal"/>
    <w:link w:val="FooterChar"/>
    <w:uiPriority w:val="99"/>
    <w:unhideWhenUsed/>
    <w:rsid w:val="0024640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6404"/>
    <w:rPr>
      <w:rFonts w:ascii="Arial" w:hAnsi="Arial"/>
    </w:rPr>
  </w:style>
  <w:style w:type="table" w:styleId="TableGrid">
    <w:name w:val="Table Grid"/>
    <w:basedOn w:val="TableNormal"/>
    <w:rsid w:val="0053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26D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D6"/>
    <w:rPr>
      <w:rFonts w:ascii="Segoe UI" w:hAnsi="Segoe UI" w:cs="Segoe UI"/>
      <w:sz w:val="18"/>
      <w:szCs w:val="18"/>
    </w:rPr>
  </w:style>
  <w:style w:type="character" w:styleId="Hyperlink">
    <w:name w:val="Hyperlink"/>
    <w:basedOn w:val="DefaultParagraphFont"/>
    <w:uiPriority w:val="99"/>
    <w:unhideWhenUsed/>
    <w:rsid w:val="00D033CE"/>
    <w:rPr>
      <w:color w:val="0563C1"/>
      <w:u w:val="single"/>
    </w:rPr>
  </w:style>
  <w:style w:type="paragraph" w:styleId="ListParagraph">
    <w:name w:val="List Paragraph"/>
    <w:basedOn w:val="Normal"/>
    <w:uiPriority w:val="34"/>
    <w:qFormat/>
    <w:rsid w:val="006C137A"/>
    <w:pPr>
      <w:ind w:left="720"/>
      <w:contextualSpacing/>
    </w:pPr>
  </w:style>
  <w:style w:type="character" w:customStyle="1" w:styleId="Heading1Char">
    <w:name w:val="Heading 1 Char"/>
    <w:basedOn w:val="DefaultParagraphFont"/>
    <w:link w:val="Heading1"/>
    <w:rsid w:val="00A26AE0"/>
    <w:rPr>
      <w:rFonts w:ascii="Arial" w:eastAsiaTheme="majorEastAsia" w:hAnsi="Arial" w:cs="Arial"/>
      <w:b/>
      <w:bCs/>
      <w:sz w:val="28"/>
      <w:szCs w:val="28"/>
    </w:rPr>
  </w:style>
  <w:style w:type="character" w:styleId="Emphasis">
    <w:name w:val="Emphasis"/>
    <w:basedOn w:val="DefaultParagraphFont"/>
    <w:uiPriority w:val="20"/>
    <w:qFormat/>
    <w:rsid w:val="00246BF9"/>
    <w:rPr>
      <w:i/>
      <w:iCs/>
    </w:rPr>
  </w:style>
  <w:style w:type="character" w:styleId="UnresolvedMention">
    <w:name w:val="Unresolved Mention"/>
    <w:basedOn w:val="DefaultParagraphFont"/>
    <w:uiPriority w:val="99"/>
    <w:semiHidden/>
    <w:unhideWhenUsed/>
    <w:rsid w:val="002248E2"/>
    <w:rPr>
      <w:color w:val="605E5C"/>
      <w:shd w:val="clear" w:color="auto" w:fill="E1DFDD"/>
    </w:rPr>
  </w:style>
  <w:style w:type="paragraph" w:styleId="TOC1">
    <w:name w:val="toc 1"/>
    <w:basedOn w:val="Normal"/>
    <w:next w:val="Normal"/>
    <w:autoRedefine/>
    <w:uiPriority w:val="39"/>
    <w:unhideWhenUsed/>
    <w:rsid w:val="00C523C8"/>
    <w:pPr>
      <w:tabs>
        <w:tab w:val="right" w:leader="dot" w:pos="9350"/>
      </w:tabs>
      <w:spacing w:after="100"/>
    </w:pPr>
    <w:rPr>
      <w:noProof/>
    </w:rPr>
  </w:style>
  <w:style w:type="character" w:styleId="FollowedHyperlink">
    <w:name w:val="FollowedHyperlink"/>
    <w:basedOn w:val="DefaultParagraphFont"/>
    <w:uiPriority w:val="99"/>
    <w:semiHidden/>
    <w:unhideWhenUsed/>
    <w:rsid w:val="002248E2"/>
    <w:rPr>
      <w:color w:val="954F72" w:themeColor="followedHyperlink"/>
      <w:u w:val="single"/>
    </w:rPr>
  </w:style>
  <w:style w:type="paragraph" w:styleId="FootnoteText">
    <w:name w:val="footnote text"/>
    <w:basedOn w:val="Normal"/>
    <w:link w:val="FootnoteTextChar"/>
    <w:uiPriority w:val="99"/>
    <w:unhideWhenUsed/>
    <w:rsid w:val="006D2E5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6D2E5C"/>
    <w:rPr>
      <w:rFonts w:ascii="Arial" w:hAnsi="Arial"/>
      <w:sz w:val="20"/>
      <w:szCs w:val="20"/>
    </w:rPr>
  </w:style>
  <w:style w:type="character" w:styleId="FootnoteReference">
    <w:name w:val="footnote reference"/>
    <w:basedOn w:val="DefaultParagraphFont"/>
    <w:unhideWhenUsed/>
    <w:rsid w:val="006D2E5C"/>
    <w:rPr>
      <w:vertAlign w:val="superscript"/>
    </w:rPr>
  </w:style>
  <w:style w:type="character" w:styleId="CommentReference">
    <w:name w:val="annotation reference"/>
    <w:basedOn w:val="DefaultParagraphFont"/>
    <w:uiPriority w:val="99"/>
    <w:semiHidden/>
    <w:unhideWhenUsed/>
    <w:rsid w:val="00FF0F20"/>
    <w:rPr>
      <w:sz w:val="16"/>
      <w:szCs w:val="16"/>
    </w:rPr>
  </w:style>
  <w:style w:type="paragraph" w:styleId="CommentText">
    <w:name w:val="annotation text"/>
    <w:basedOn w:val="Normal"/>
    <w:link w:val="CommentTextChar"/>
    <w:uiPriority w:val="99"/>
    <w:semiHidden/>
    <w:unhideWhenUsed/>
    <w:rsid w:val="00FF0F20"/>
    <w:pPr>
      <w:spacing w:line="240" w:lineRule="auto"/>
    </w:pPr>
    <w:rPr>
      <w:sz w:val="20"/>
      <w:szCs w:val="20"/>
    </w:rPr>
  </w:style>
  <w:style w:type="character" w:customStyle="1" w:styleId="CommentTextChar">
    <w:name w:val="Comment Text Char"/>
    <w:basedOn w:val="DefaultParagraphFont"/>
    <w:link w:val="CommentText"/>
    <w:uiPriority w:val="99"/>
    <w:semiHidden/>
    <w:rsid w:val="00FF0F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0F20"/>
    <w:rPr>
      <w:b/>
      <w:bCs/>
    </w:rPr>
  </w:style>
  <w:style w:type="character" w:customStyle="1" w:styleId="CommentSubjectChar">
    <w:name w:val="Comment Subject Char"/>
    <w:basedOn w:val="CommentTextChar"/>
    <w:link w:val="CommentSubject"/>
    <w:uiPriority w:val="99"/>
    <w:semiHidden/>
    <w:rsid w:val="00FF0F20"/>
    <w:rPr>
      <w:rFonts w:ascii="Arial" w:hAnsi="Arial"/>
      <w:b/>
      <w:bCs/>
      <w:sz w:val="20"/>
      <w:szCs w:val="20"/>
    </w:rPr>
  </w:style>
  <w:style w:type="character" w:customStyle="1" w:styleId="Heading2Char">
    <w:name w:val="Heading 2 Char"/>
    <w:basedOn w:val="DefaultParagraphFont"/>
    <w:link w:val="Heading2"/>
    <w:uiPriority w:val="9"/>
    <w:rsid w:val="00FF0F20"/>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3255DE"/>
    <w:rPr>
      <w:color w:val="808080"/>
    </w:rPr>
  </w:style>
  <w:style w:type="character" w:customStyle="1" w:styleId="BodyTextChar">
    <w:name w:val="Body Text Char"/>
    <w:basedOn w:val="DefaultParagraphFont"/>
    <w:link w:val="BodyText"/>
    <w:rsid w:val="0025625E"/>
    <w:rPr>
      <w:rFonts w:ascii="Arial" w:eastAsia="Times New Roman" w:hAnsi="Arial" w:cs="Times New Roman"/>
      <w:i/>
      <w:szCs w:val="20"/>
    </w:rPr>
  </w:style>
  <w:style w:type="paragraph" w:styleId="BodyText">
    <w:name w:val="Body Text"/>
    <w:basedOn w:val="Normal"/>
    <w:link w:val="BodyTextChar"/>
    <w:rsid w:val="0025625E"/>
    <w:pPr>
      <w:overflowPunct w:val="0"/>
      <w:autoSpaceDE w:val="0"/>
      <w:autoSpaceDN w:val="0"/>
      <w:adjustRightInd w:val="0"/>
      <w:spacing w:before="0" w:after="160" w:line="259" w:lineRule="auto"/>
      <w:jc w:val="center"/>
      <w:textAlignment w:val="baseline"/>
    </w:pPr>
    <w:rPr>
      <w:rFonts w:eastAsia="Times New Roman" w:cs="Times New Roman"/>
      <w:i/>
      <w:szCs w:val="20"/>
    </w:rPr>
  </w:style>
  <w:style w:type="character" w:customStyle="1" w:styleId="BodyTextChar1">
    <w:name w:val="Body Text Char1"/>
    <w:basedOn w:val="DefaultParagraphFont"/>
    <w:uiPriority w:val="99"/>
    <w:semiHidden/>
    <w:rsid w:val="0025625E"/>
    <w:rPr>
      <w:rFonts w:ascii="Arial" w:hAnsi="Arial"/>
    </w:rPr>
  </w:style>
  <w:style w:type="character" w:customStyle="1" w:styleId="TitleChar">
    <w:name w:val="Title Char"/>
    <w:basedOn w:val="DefaultParagraphFont"/>
    <w:link w:val="Title"/>
    <w:rsid w:val="0025625E"/>
    <w:rPr>
      <w:rFonts w:ascii="Arial" w:eastAsia="Times New Roman" w:hAnsi="Arial" w:cs="Times New Roman"/>
      <w:b/>
      <w:sz w:val="24"/>
      <w:szCs w:val="20"/>
    </w:rPr>
  </w:style>
  <w:style w:type="paragraph" w:styleId="Title">
    <w:name w:val="Title"/>
    <w:basedOn w:val="Normal"/>
    <w:link w:val="TitleChar"/>
    <w:qFormat/>
    <w:rsid w:val="0025625E"/>
    <w:pPr>
      <w:overflowPunct w:val="0"/>
      <w:autoSpaceDE w:val="0"/>
      <w:autoSpaceDN w:val="0"/>
      <w:adjustRightInd w:val="0"/>
      <w:spacing w:before="0" w:after="160" w:line="259" w:lineRule="auto"/>
      <w:jc w:val="center"/>
      <w:textAlignment w:val="baseline"/>
    </w:pPr>
    <w:rPr>
      <w:rFonts w:eastAsia="Times New Roman" w:cs="Times New Roman"/>
      <w:b/>
      <w:sz w:val="24"/>
      <w:szCs w:val="20"/>
    </w:rPr>
  </w:style>
  <w:style w:type="character" w:customStyle="1" w:styleId="TitleChar1">
    <w:name w:val="Title Char1"/>
    <w:basedOn w:val="DefaultParagraphFont"/>
    <w:uiPriority w:val="10"/>
    <w:rsid w:val="0025625E"/>
    <w:rPr>
      <w:rFonts w:asciiTheme="majorHAnsi" w:eastAsiaTheme="majorEastAsia" w:hAnsiTheme="majorHAnsi" w:cstheme="majorBidi"/>
      <w:spacing w:val="-10"/>
      <w:kern w:val="28"/>
      <w:sz w:val="56"/>
      <w:szCs w:val="56"/>
    </w:rPr>
  </w:style>
  <w:style w:type="character" w:customStyle="1" w:styleId="BodyText2Char">
    <w:name w:val="Body Text 2 Char"/>
    <w:basedOn w:val="DefaultParagraphFont"/>
    <w:link w:val="BodyText2"/>
    <w:rsid w:val="0025625E"/>
    <w:rPr>
      <w:rFonts w:ascii="Arial" w:eastAsia="Times New Roman" w:hAnsi="Arial" w:cs="Times New Roman"/>
      <w:b/>
      <w:sz w:val="16"/>
      <w:szCs w:val="20"/>
    </w:rPr>
  </w:style>
  <w:style w:type="paragraph" w:styleId="BodyText2">
    <w:name w:val="Body Text 2"/>
    <w:basedOn w:val="Normal"/>
    <w:link w:val="BodyText2Char"/>
    <w:rsid w:val="0025625E"/>
    <w:pPr>
      <w:overflowPunct w:val="0"/>
      <w:autoSpaceDE w:val="0"/>
      <w:autoSpaceDN w:val="0"/>
      <w:adjustRightInd w:val="0"/>
      <w:spacing w:before="0" w:after="160" w:line="259" w:lineRule="auto"/>
      <w:textAlignment w:val="baseline"/>
    </w:pPr>
    <w:rPr>
      <w:rFonts w:eastAsia="Times New Roman" w:cs="Times New Roman"/>
      <w:b/>
      <w:sz w:val="16"/>
      <w:szCs w:val="20"/>
    </w:rPr>
  </w:style>
  <w:style w:type="character" w:customStyle="1" w:styleId="BodyText2Char1">
    <w:name w:val="Body Text 2 Char1"/>
    <w:basedOn w:val="DefaultParagraphFont"/>
    <w:uiPriority w:val="99"/>
    <w:semiHidden/>
    <w:rsid w:val="0025625E"/>
    <w:rPr>
      <w:rFonts w:ascii="Arial" w:hAnsi="Arial"/>
    </w:rPr>
  </w:style>
  <w:style w:type="character" w:customStyle="1" w:styleId="BodyText3Char">
    <w:name w:val="Body Text 3 Char"/>
    <w:basedOn w:val="DefaultParagraphFont"/>
    <w:link w:val="BodyText3"/>
    <w:rsid w:val="0025625E"/>
    <w:rPr>
      <w:rFonts w:ascii="Arial" w:eastAsia="Times New Roman" w:hAnsi="Arial" w:cs="Times New Roman"/>
      <w:b/>
      <w:sz w:val="28"/>
      <w:szCs w:val="20"/>
    </w:rPr>
  </w:style>
  <w:style w:type="paragraph" w:styleId="BodyText3">
    <w:name w:val="Body Text 3"/>
    <w:basedOn w:val="Normal"/>
    <w:link w:val="BodyText3Char"/>
    <w:rsid w:val="0025625E"/>
    <w:pPr>
      <w:overflowPunct w:val="0"/>
      <w:autoSpaceDE w:val="0"/>
      <w:autoSpaceDN w:val="0"/>
      <w:adjustRightInd w:val="0"/>
      <w:spacing w:before="0" w:after="160" w:line="259" w:lineRule="auto"/>
      <w:textAlignment w:val="baseline"/>
    </w:pPr>
    <w:rPr>
      <w:rFonts w:eastAsia="Times New Roman" w:cs="Times New Roman"/>
      <w:b/>
      <w:sz w:val="28"/>
      <w:szCs w:val="20"/>
    </w:rPr>
  </w:style>
  <w:style w:type="character" w:customStyle="1" w:styleId="BodyText3Char1">
    <w:name w:val="Body Text 3 Char1"/>
    <w:basedOn w:val="DefaultParagraphFont"/>
    <w:uiPriority w:val="99"/>
    <w:semiHidden/>
    <w:rsid w:val="0025625E"/>
    <w:rPr>
      <w:rFonts w:ascii="Arial" w:hAnsi="Arial"/>
      <w:sz w:val="16"/>
      <w:szCs w:val="16"/>
    </w:rPr>
  </w:style>
  <w:style w:type="paragraph" w:styleId="TOC2">
    <w:name w:val="toc 2"/>
    <w:basedOn w:val="Normal"/>
    <w:next w:val="Normal"/>
    <w:autoRedefine/>
    <w:uiPriority w:val="39"/>
    <w:unhideWhenUsed/>
    <w:rsid w:val="0025625E"/>
    <w:pPr>
      <w:tabs>
        <w:tab w:val="right" w:leader="dot" w:pos="9350"/>
      </w:tabs>
      <w:spacing w:after="100"/>
    </w:pPr>
    <w:rPr>
      <w:rFonts w:cs="Arial"/>
      <w:noProof/>
      <w:color w:val="0D0D0D" w:themeColor="text1" w:themeTint="F2"/>
    </w:rPr>
  </w:style>
  <w:style w:type="paragraph" w:styleId="TOCHeading">
    <w:name w:val="TOC Heading"/>
    <w:basedOn w:val="Heading1"/>
    <w:next w:val="Normal"/>
    <w:uiPriority w:val="39"/>
    <w:unhideWhenUsed/>
    <w:qFormat/>
    <w:rsid w:val="003F13E2"/>
    <w:pPr>
      <w:spacing w:before="240" w:after="0" w:line="259" w:lineRule="auto"/>
      <w:outlineLvl w:val="9"/>
    </w:pPr>
    <w:rPr>
      <w:rFonts w:asciiTheme="majorHAnsi"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6180">
      <w:bodyDiv w:val="1"/>
      <w:marLeft w:val="0"/>
      <w:marRight w:val="0"/>
      <w:marTop w:val="0"/>
      <w:marBottom w:val="0"/>
      <w:divBdr>
        <w:top w:val="none" w:sz="0" w:space="0" w:color="auto"/>
        <w:left w:val="none" w:sz="0" w:space="0" w:color="auto"/>
        <w:bottom w:val="none" w:sz="0" w:space="0" w:color="auto"/>
        <w:right w:val="none" w:sz="0" w:space="0" w:color="auto"/>
      </w:divBdr>
    </w:div>
    <w:div w:id="395982437">
      <w:bodyDiv w:val="1"/>
      <w:marLeft w:val="0"/>
      <w:marRight w:val="0"/>
      <w:marTop w:val="0"/>
      <w:marBottom w:val="0"/>
      <w:divBdr>
        <w:top w:val="none" w:sz="0" w:space="0" w:color="auto"/>
        <w:left w:val="none" w:sz="0" w:space="0" w:color="auto"/>
        <w:bottom w:val="none" w:sz="0" w:space="0" w:color="auto"/>
        <w:right w:val="none" w:sz="0" w:space="0" w:color="auto"/>
      </w:divBdr>
    </w:div>
    <w:div w:id="686324594">
      <w:bodyDiv w:val="1"/>
      <w:marLeft w:val="0"/>
      <w:marRight w:val="0"/>
      <w:marTop w:val="0"/>
      <w:marBottom w:val="0"/>
      <w:divBdr>
        <w:top w:val="none" w:sz="0" w:space="0" w:color="auto"/>
        <w:left w:val="none" w:sz="0" w:space="0" w:color="auto"/>
        <w:bottom w:val="none" w:sz="0" w:space="0" w:color="auto"/>
        <w:right w:val="none" w:sz="0" w:space="0" w:color="auto"/>
      </w:divBdr>
    </w:div>
    <w:div w:id="705182986">
      <w:bodyDiv w:val="1"/>
      <w:marLeft w:val="0"/>
      <w:marRight w:val="0"/>
      <w:marTop w:val="0"/>
      <w:marBottom w:val="0"/>
      <w:divBdr>
        <w:top w:val="none" w:sz="0" w:space="0" w:color="auto"/>
        <w:left w:val="none" w:sz="0" w:space="0" w:color="auto"/>
        <w:bottom w:val="none" w:sz="0" w:space="0" w:color="auto"/>
        <w:right w:val="none" w:sz="0" w:space="0" w:color="auto"/>
      </w:divBdr>
    </w:div>
    <w:div w:id="977297583">
      <w:bodyDiv w:val="1"/>
      <w:marLeft w:val="0"/>
      <w:marRight w:val="0"/>
      <w:marTop w:val="0"/>
      <w:marBottom w:val="0"/>
      <w:divBdr>
        <w:top w:val="none" w:sz="0" w:space="0" w:color="auto"/>
        <w:left w:val="none" w:sz="0" w:space="0" w:color="auto"/>
        <w:bottom w:val="none" w:sz="0" w:space="0" w:color="auto"/>
        <w:right w:val="none" w:sz="0" w:space="0" w:color="auto"/>
      </w:divBdr>
    </w:div>
    <w:div w:id="1210144236">
      <w:bodyDiv w:val="1"/>
      <w:marLeft w:val="0"/>
      <w:marRight w:val="0"/>
      <w:marTop w:val="0"/>
      <w:marBottom w:val="0"/>
      <w:divBdr>
        <w:top w:val="none" w:sz="0" w:space="0" w:color="auto"/>
        <w:left w:val="none" w:sz="0" w:space="0" w:color="auto"/>
        <w:bottom w:val="none" w:sz="0" w:space="0" w:color="auto"/>
        <w:right w:val="none" w:sz="0" w:space="0" w:color="auto"/>
      </w:divBdr>
    </w:div>
    <w:div w:id="1226338795">
      <w:bodyDiv w:val="1"/>
      <w:marLeft w:val="0"/>
      <w:marRight w:val="0"/>
      <w:marTop w:val="0"/>
      <w:marBottom w:val="0"/>
      <w:divBdr>
        <w:top w:val="none" w:sz="0" w:space="0" w:color="auto"/>
        <w:left w:val="none" w:sz="0" w:space="0" w:color="auto"/>
        <w:bottom w:val="none" w:sz="0" w:space="0" w:color="auto"/>
        <w:right w:val="none" w:sz="0" w:space="0" w:color="auto"/>
      </w:divBdr>
    </w:div>
    <w:div w:id="1447195721">
      <w:bodyDiv w:val="1"/>
      <w:marLeft w:val="0"/>
      <w:marRight w:val="0"/>
      <w:marTop w:val="0"/>
      <w:marBottom w:val="0"/>
      <w:divBdr>
        <w:top w:val="none" w:sz="0" w:space="0" w:color="auto"/>
        <w:left w:val="none" w:sz="0" w:space="0" w:color="auto"/>
        <w:bottom w:val="none" w:sz="0" w:space="0" w:color="auto"/>
        <w:right w:val="none" w:sz="0" w:space="0" w:color="auto"/>
      </w:divBdr>
    </w:div>
    <w:div w:id="1603564541">
      <w:bodyDiv w:val="1"/>
      <w:marLeft w:val="0"/>
      <w:marRight w:val="0"/>
      <w:marTop w:val="0"/>
      <w:marBottom w:val="0"/>
      <w:divBdr>
        <w:top w:val="none" w:sz="0" w:space="0" w:color="auto"/>
        <w:left w:val="none" w:sz="0" w:space="0" w:color="auto"/>
        <w:bottom w:val="none" w:sz="0" w:space="0" w:color="auto"/>
        <w:right w:val="none" w:sz="0" w:space="0" w:color="auto"/>
      </w:divBdr>
    </w:div>
    <w:div w:id="1618101784">
      <w:bodyDiv w:val="1"/>
      <w:marLeft w:val="0"/>
      <w:marRight w:val="0"/>
      <w:marTop w:val="0"/>
      <w:marBottom w:val="0"/>
      <w:divBdr>
        <w:top w:val="none" w:sz="0" w:space="0" w:color="auto"/>
        <w:left w:val="none" w:sz="0" w:space="0" w:color="auto"/>
        <w:bottom w:val="none" w:sz="0" w:space="0" w:color="auto"/>
        <w:right w:val="none" w:sz="0" w:space="0" w:color="auto"/>
      </w:divBdr>
    </w:div>
    <w:div w:id="17673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researchgate.net/publication/24270530_Home_Visiting_for_the_Prevention_of_Child_Maltreatment_Lessons_Learned_During_the_Past_20_Years" TargetMode="External"/><Relationship Id="rId39" Type="http://schemas.openxmlformats.org/officeDocument/2006/relationships/hyperlink" Target="https://www.samhsa.gov/sites/default/files/national-guidelines-for-behavioral-health-crisis-care-02242020.pdf" TargetMode="External"/><Relationship Id="rId21" Type="http://schemas.openxmlformats.org/officeDocument/2006/relationships/hyperlink" Target="https://www.acf.hhs.gov/cb/resource/cfsr-round3-onsite-review-instrument" TargetMode="External"/><Relationship Id="rId34" Type="http://schemas.openxmlformats.org/officeDocument/2006/relationships/hyperlink" Target="https://www.acf.hhs.gov/sites/default/files/cb/cfsr_r3_osri.pdf"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aecf.org/resources/10-practices-part-one/" TargetMode="External"/><Relationship Id="rId29" Type="http://schemas.openxmlformats.org/officeDocument/2006/relationships/hyperlink" Target="https://www.researchgate.net/publication/298797315_Structural_Pathways_between_Child_Abuse_Poor_Mental_Health_Outcomes_and_Male-Perpetrated_Intimate_Partner_Violence_IPV"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igitalcommons.library.tmc.edu/jfs/vol14/iss1/3" TargetMode="External"/><Relationship Id="rId32" Type="http://schemas.openxmlformats.org/officeDocument/2006/relationships/hyperlink" Target="http://citeseerx.ist.psu.edu/viewdoc/download?doi=10.1.1.999.8413&amp;rep=rep1&amp;type=pdf" TargetMode="External"/><Relationship Id="rId37" Type="http://schemas.openxmlformats.org/officeDocument/2006/relationships/hyperlink" Target="https://www.childwelfare.gov/pubs/usermanuals/crisis/" TargetMode="External"/><Relationship Id="rId40" Type="http://schemas.openxmlformats.org/officeDocument/2006/relationships/hyperlink" Target="https://ssrn.com/abstract=3341033%20or%20http://dx.doi.org/10.2139/ssrn.3341033"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capacity.childwelfare.gov/states/resources/quality-worker-parent-visits-tip-sheet/" TargetMode="External"/><Relationship Id="rId28" Type="http://schemas.openxmlformats.org/officeDocument/2006/relationships/hyperlink" Target="https://www.researchgate.net/publication/298797315_Structural_Pathways_between_Child_Abuse_Poor_Mental_Health_Outcomes_and_Male-Perpetrated_Intimate_Partner_Violence_IPV" TargetMode="External"/><Relationship Id="rId36" Type="http://schemas.openxmlformats.org/officeDocument/2006/relationships/hyperlink" Target="https://nirn.fpg.unc.edu/resources/implementation-research-synthesis-literature"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www.aecf.org/resources/10-practices-part-on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hildwelfare.gov/pubPDFs/cps2018.pdf" TargetMode="External"/><Relationship Id="rId27" Type="http://schemas.openxmlformats.org/officeDocument/2006/relationships/hyperlink" Target="https://youthlaw.org/publication/foster-parents-who-are-they-and-what-are-their-motivations/" TargetMode="External"/><Relationship Id="rId30" Type="http://schemas.openxmlformats.org/officeDocument/2006/relationships/hyperlink" Target="https://cfrc.illinois.edu/pubs/jn_20130301_DidnTWeJustSeeYouTimeToRecurrenceAmongFrequentlyEncounteredFamiliesInCPS.pdf" TargetMode="External"/><Relationship Id="rId35" Type="http://schemas.openxmlformats.org/officeDocument/2006/relationships/hyperlink" Target="https://www.acf.hhs.gov/cb/resource/cfsr-aggregate-report-round3" TargetMode="External"/><Relationship Id="rId43"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mikid.org/wp-content/uploads/2016/11/engaging_families.pdf" TargetMode="External"/><Relationship Id="rId33" Type="http://schemas.openxmlformats.org/officeDocument/2006/relationships/hyperlink" Target="https://www.childwelfare.gov/pubs/usermanuals/cps2018/" TargetMode="External"/><Relationship Id="rId38" Type="http://schemas.openxmlformats.org/officeDocument/2006/relationships/hyperlink" Target="http://centerforchildwelfare.org/Preservice/CMSpecialityTrack/CM_M2_T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_rels/header8.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pman-Steven\AppData\Roaming\Microsoft\Templates\DCF%20Cover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07F3-47F8-4880-8B23-EFBA46E0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Coversheet</Template>
  <TotalTime>5</TotalTime>
  <Pages>27</Pages>
  <Words>7649</Words>
  <Characters>43601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Metrics Guidebook (July 2022)</dc:title>
  <dc:subject/>
  <dc:creator>Steven F. Chapman, PhD</dc:creator>
  <cp:keywords/>
  <dc:description/>
  <cp:lastModifiedBy>VanDyke, Misty N</cp:lastModifiedBy>
  <cp:revision>3</cp:revision>
  <cp:lastPrinted>2018-05-14T19:21:00Z</cp:lastPrinted>
  <dcterms:created xsi:type="dcterms:W3CDTF">2024-12-04T19:50:00Z</dcterms:created>
  <dcterms:modified xsi:type="dcterms:W3CDTF">2025-06-25T13:11:00Z</dcterms:modified>
</cp:coreProperties>
</file>