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FC" w:rsidRPr="006069FC" w:rsidRDefault="006069FC" w:rsidP="001C212B">
      <w:pPr>
        <w:tabs>
          <w:tab w:val="left" w:pos="3383"/>
        </w:tabs>
        <w:spacing w:after="0" w:line="240" w:lineRule="auto"/>
        <w:rPr>
          <w:rFonts w:ascii="Calibri" w:eastAsia="Times New Roman" w:hAnsi="Calibri" w:cs="Times New Roman"/>
          <w:b/>
          <w:color w:val="1F4E79"/>
        </w:rPr>
      </w:pPr>
      <w:r w:rsidRPr="006069FC">
        <w:rPr>
          <w:rFonts w:ascii="Calibri" w:eastAsia="Times New Roman" w:hAnsi="Calibri" w:cs="Times New Roman"/>
          <w:b/>
          <w:color w:val="1F4E79"/>
        </w:rPr>
        <w:t>Appendix A</w:t>
      </w:r>
      <w:r w:rsidR="001C212B">
        <w:rPr>
          <w:rFonts w:ascii="Calibri" w:eastAsia="Times New Roman" w:hAnsi="Calibri" w:cs="Times New Roman"/>
          <w:b/>
          <w:color w:val="1F4E79"/>
        </w:rPr>
        <w:tab/>
        <w:t xml:space="preserve">       </w:t>
      </w:r>
      <w:r w:rsidR="001C212B"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Sample</w:t>
      </w:r>
      <w:r w:rsidR="008C3816" w:rsidRPr="008C3816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</w:t>
      </w:r>
      <w:r w:rsidR="008C3816"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Template</w:t>
      </w:r>
    </w:p>
    <w:p w:rsidR="006069FC" w:rsidRPr="006069FC" w:rsidRDefault="006069FC" w:rsidP="006069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1F4E79"/>
          <w:sz w:val="24"/>
          <w:szCs w:val="24"/>
        </w:rPr>
      </w:pPr>
    </w:p>
    <w:p w:rsidR="006069FC" w:rsidRPr="006069FC" w:rsidRDefault="001C212B" w:rsidP="006069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Federal Funding Monitoring </w:t>
      </w:r>
      <w:r w:rsidR="009D280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Annual </w:t>
      </w:r>
      <w:r w:rsidR="006069FC"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Report 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</w:rPr>
      </w:pPr>
    </w:p>
    <w:p w:rsidR="006069FC" w:rsidRPr="006069FC" w:rsidRDefault="006069FC" w:rsidP="006069FC">
      <w:pPr>
        <w:keepNext/>
        <w:spacing w:after="120" w:line="240" w:lineRule="auto"/>
        <w:outlineLvl w:val="0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Purpose of Review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>The Title IV-E Foster Care (FC), IV-E Adoption Subsidy and TANF MAS eligibility review is part of the Federal Funding Eligibility Monitoring Plan.  The purpose of this review is two</w:t>
      </w:r>
      <w:r w:rsidR="00366B53">
        <w:rPr>
          <w:rFonts w:ascii="Calibri" w:eastAsia="Times New Roman" w:hAnsi="Calibri" w:cs="Times New Roman"/>
        </w:rPr>
        <w:t>-</w:t>
      </w:r>
      <w:r w:rsidRPr="006069FC">
        <w:rPr>
          <w:rFonts w:ascii="Calibri" w:eastAsia="Times New Roman" w:hAnsi="Calibri" w:cs="Times New Roman"/>
        </w:rPr>
        <w:t xml:space="preserve">fold, first to ensure accurate eligibility decisions.  Secondly, it is to ensure continued receipt of federal and state funding necessary to support our child welfare system.  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</w:rPr>
      </w:pPr>
    </w:p>
    <w:p w:rsidR="006069FC" w:rsidRPr="006069FC" w:rsidRDefault="006069FC" w:rsidP="006069FC">
      <w:pPr>
        <w:keepNext/>
        <w:spacing w:after="120" w:line="240" w:lineRule="auto"/>
        <w:outlineLvl w:val="0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Summary</w:t>
      </w:r>
    </w:p>
    <w:p w:rsidR="006069FC" w:rsidRPr="006069FC" w:rsidRDefault="006069FC" w:rsidP="006069FC">
      <w:pPr>
        <w:keepNext/>
        <w:spacing w:after="120" w:line="240" w:lineRule="auto"/>
        <w:outlineLvl w:val="0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The summary provides an </w:t>
      </w:r>
      <w:r w:rsidR="00366B53">
        <w:rPr>
          <w:rFonts w:ascii="Calibri" w:eastAsia="Times New Roman" w:hAnsi="Calibri" w:cs="Times New Roman"/>
        </w:rPr>
        <w:t>overview of the key findings.  Include a</w:t>
      </w:r>
      <w:r w:rsidR="007909BE">
        <w:rPr>
          <w:rFonts w:ascii="Calibri" w:eastAsia="Times New Roman" w:hAnsi="Calibri" w:cs="Times New Roman"/>
        </w:rPr>
        <w:t xml:space="preserve"> brief </w:t>
      </w:r>
      <w:r w:rsidRPr="006069FC">
        <w:rPr>
          <w:rFonts w:ascii="Calibri" w:eastAsia="Times New Roman" w:hAnsi="Calibri" w:cs="Times New Roman"/>
        </w:rPr>
        <w:t>analysis</w:t>
      </w:r>
      <w:r w:rsidR="007909BE">
        <w:rPr>
          <w:rFonts w:ascii="Calibri" w:eastAsia="Times New Roman" w:hAnsi="Calibri" w:cs="Times New Roman"/>
        </w:rPr>
        <w:t xml:space="preserve">.  Describe what you learned, etc.  </w:t>
      </w:r>
      <w:r w:rsidRPr="006069FC">
        <w:rPr>
          <w:rFonts w:ascii="Calibri" w:eastAsia="Times New Roman" w:hAnsi="Calibri" w:cs="Times New Roman"/>
        </w:rPr>
        <w:t xml:space="preserve">    </w:t>
      </w:r>
    </w:p>
    <w:p w:rsidR="00245992" w:rsidRDefault="00245992" w:rsidP="00245992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color w:val="1F4E79"/>
          <w:sz w:val="24"/>
          <w:szCs w:val="24"/>
        </w:rPr>
      </w:pPr>
    </w:p>
    <w:p w:rsidR="006069FC" w:rsidRPr="006069FC" w:rsidRDefault="006069FC" w:rsidP="006069FC">
      <w:pPr>
        <w:keepNext/>
        <w:spacing w:after="120" w:line="240" w:lineRule="auto"/>
        <w:outlineLvl w:val="0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Methodology  </w:t>
      </w:r>
    </w:p>
    <w:p w:rsidR="006069FC" w:rsidRPr="006069FC" w:rsidRDefault="009D280C" w:rsidP="006069F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Arial"/>
        </w:rPr>
        <w:t>Describe the sampling methodology</w:t>
      </w:r>
      <w:r w:rsidR="007909BE">
        <w:rPr>
          <w:rFonts w:ascii="Calibri" w:eastAsia="Times New Roman" w:hAnsi="Calibri" w:cs="Arial"/>
        </w:rPr>
        <w:t xml:space="preserve"> and period under review</w:t>
      </w:r>
      <w:r>
        <w:rPr>
          <w:rFonts w:ascii="Calibri" w:eastAsia="Times New Roman" w:hAnsi="Calibri" w:cs="Arial"/>
        </w:rPr>
        <w:t xml:space="preserve">.  </w:t>
      </w:r>
      <w:r w:rsidRPr="009D280C">
        <w:rPr>
          <w:rFonts w:ascii="Calibri" w:eastAsia="Times New Roman" w:hAnsi="Calibri" w:cs="Arial"/>
          <w:i/>
        </w:rPr>
        <w:t>For example:</w:t>
      </w:r>
      <w:r>
        <w:rPr>
          <w:rFonts w:ascii="Calibri" w:eastAsia="Times New Roman" w:hAnsi="Calibri" w:cs="Arial"/>
        </w:rPr>
        <w:t xml:space="preserve"> </w:t>
      </w:r>
      <w:r w:rsidR="006069FC" w:rsidRPr="006069FC">
        <w:rPr>
          <w:rFonts w:ascii="Calibri" w:eastAsia="Times New Roman" w:hAnsi="Calibri" w:cs="Arial"/>
        </w:rPr>
        <w:t>The sample of cases reviewed consisted of</w:t>
      </w:r>
      <w:r w:rsidR="006069FC" w:rsidRPr="009D280C">
        <w:rPr>
          <w:rFonts w:ascii="Calibri" w:eastAsia="Times New Roman" w:hAnsi="Calibri" w:cs="Arial"/>
          <w:u w:val="single"/>
        </w:rPr>
        <w:t xml:space="preserve">                       </w:t>
      </w:r>
      <w:r w:rsidR="006069FC" w:rsidRPr="006069FC">
        <w:rPr>
          <w:rFonts w:ascii="Calibri" w:eastAsia="Times New Roman" w:hAnsi="Calibri" w:cs="Arial"/>
        </w:rPr>
        <w:t xml:space="preserve">.  The review focused on accurate eligibility determination with appropriate documentation and coding.  </w:t>
      </w:r>
    </w:p>
    <w:p w:rsidR="006069FC" w:rsidRPr="006069FC" w:rsidRDefault="006069FC" w:rsidP="006069FC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6069FC" w:rsidRPr="006069FC" w:rsidRDefault="006069FC" w:rsidP="006069FC">
      <w:pPr>
        <w:keepNext/>
        <w:spacing w:after="120" w:line="240" w:lineRule="auto"/>
        <w:outlineLvl w:val="0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Findings</w:t>
      </w:r>
    </w:p>
    <w:p w:rsidR="006069FC" w:rsidRPr="009D280C" w:rsidRDefault="006069FC" w:rsidP="00245992">
      <w:pPr>
        <w:spacing w:after="120" w:line="240" w:lineRule="auto"/>
        <w:rPr>
          <w:rFonts w:ascii="Calibri" w:eastAsia="Times New Roman" w:hAnsi="Calibri" w:cs="Times New Roman"/>
          <w:i/>
        </w:rPr>
      </w:pPr>
      <w:r w:rsidRPr="006069FC">
        <w:rPr>
          <w:rFonts w:ascii="Calibri" w:eastAsia="Times New Roman" w:hAnsi="Calibri" w:cs="Times New Roman"/>
        </w:rPr>
        <w:t xml:space="preserve">Describe the findings for the separate eligibility populations.  </w:t>
      </w:r>
      <w:r w:rsidR="009D280C" w:rsidRPr="009D280C">
        <w:rPr>
          <w:rFonts w:ascii="Calibri" w:eastAsia="Times New Roman" w:hAnsi="Calibri" w:cs="Times New Roman"/>
          <w:i/>
        </w:rPr>
        <w:t>For example: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u w:val="single"/>
        </w:rPr>
      </w:pPr>
      <w:r w:rsidRPr="006069FC">
        <w:rPr>
          <w:rFonts w:ascii="Calibri" w:eastAsia="Times New Roman" w:hAnsi="Calibri" w:cs="Times New Roman"/>
          <w:b/>
          <w:color w:val="1F4E79"/>
          <w:u w:val="single"/>
        </w:rPr>
        <w:t>IV-E Foster Care (FC)</w:t>
      </w:r>
    </w:p>
    <w:p w:rsidR="006069FC" w:rsidRDefault="006069FC" w:rsidP="006069FC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>Of the ___ cases reviewed as eligible</w:t>
      </w:r>
      <w:r w:rsidR="009D280C">
        <w:rPr>
          <w:rFonts w:ascii="Calibri" w:eastAsia="Times New Roman" w:hAnsi="Calibri" w:cs="Times New Roman"/>
        </w:rPr>
        <w:t xml:space="preserve"> and reimbursable</w:t>
      </w:r>
      <w:r w:rsidRPr="006069FC">
        <w:rPr>
          <w:rFonts w:ascii="Calibri" w:eastAsia="Times New Roman" w:hAnsi="Calibri" w:cs="Times New Roman"/>
        </w:rPr>
        <w:t xml:space="preserve"> for IV-E Foster Care, ___cases </w:t>
      </w:r>
      <w:r w:rsidRPr="006069FC">
        <w:rPr>
          <w:rFonts w:ascii="Calibri" w:eastAsia="Times New Roman" w:hAnsi="Calibri" w:cs="Times New Roman"/>
          <w:b/>
        </w:rPr>
        <w:t>(__%)</w:t>
      </w:r>
      <w:r w:rsidRPr="006069FC">
        <w:rPr>
          <w:rFonts w:ascii="Calibri" w:eastAsia="Times New Roman" w:hAnsi="Calibri" w:cs="Times New Roman"/>
        </w:rPr>
        <w:t xml:space="preserve"> are eligible </w:t>
      </w:r>
      <w:r w:rsidR="009D280C">
        <w:rPr>
          <w:rFonts w:ascii="Calibri" w:eastAsia="Times New Roman" w:hAnsi="Calibri" w:cs="Times New Roman"/>
        </w:rPr>
        <w:t>u</w:t>
      </w:r>
      <w:r w:rsidRPr="006069FC">
        <w:rPr>
          <w:rFonts w:ascii="Calibri" w:eastAsia="Times New Roman" w:hAnsi="Calibri" w:cs="Times New Roman"/>
        </w:rPr>
        <w:t xml:space="preserve">nder Title IV-E FC.  </w:t>
      </w:r>
    </w:p>
    <w:p w:rsidR="009D280C" w:rsidRDefault="009D280C" w:rsidP="009D280C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Of the ___ cases reviewed as eligible and non-reimbursable for IV-E Foster Care, </w:t>
      </w:r>
      <w:r w:rsidRPr="006069FC">
        <w:rPr>
          <w:rFonts w:ascii="Calibri" w:eastAsia="Times New Roman" w:hAnsi="Calibri" w:cs="Times New Roman"/>
        </w:rPr>
        <w:t xml:space="preserve">___cases </w:t>
      </w:r>
      <w:r w:rsidRPr="006069FC">
        <w:rPr>
          <w:rFonts w:ascii="Calibri" w:eastAsia="Times New Roman" w:hAnsi="Calibri" w:cs="Times New Roman"/>
          <w:b/>
        </w:rPr>
        <w:t>(__%)</w:t>
      </w:r>
      <w:r w:rsidRPr="006069FC">
        <w:rPr>
          <w:rFonts w:ascii="Calibri" w:eastAsia="Times New Roman" w:hAnsi="Calibri" w:cs="Times New Roman"/>
        </w:rPr>
        <w:t xml:space="preserve"> are eligible </w:t>
      </w:r>
      <w:r>
        <w:rPr>
          <w:rFonts w:ascii="Calibri" w:eastAsia="Times New Roman" w:hAnsi="Calibri" w:cs="Times New Roman"/>
        </w:rPr>
        <w:t xml:space="preserve">and reimbursable </w:t>
      </w:r>
      <w:r>
        <w:rPr>
          <w:rFonts w:ascii="Calibri" w:eastAsia="Times New Roman" w:hAnsi="Calibri" w:cs="Times New Roman"/>
        </w:rPr>
        <w:t>u</w:t>
      </w:r>
      <w:r w:rsidRPr="006069FC">
        <w:rPr>
          <w:rFonts w:ascii="Calibri" w:eastAsia="Times New Roman" w:hAnsi="Calibri" w:cs="Times New Roman"/>
        </w:rPr>
        <w:t xml:space="preserve">nder Title IV-E FC.  </w:t>
      </w:r>
    </w:p>
    <w:p w:rsidR="00366B53" w:rsidRDefault="006069FC" w:rsidP="006069FC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Of those </w:t>
      </w:r>
      <w:r w:rsidR="009D280C">
        <w:rPr>
          <w:rFonts w:ascii="Calibri" w:eastAsia="Times New Roman" w:hAnsi="Calibri" w:cs="Times New Roman"/>
        </w:rPr>
        <w:t xml:space="preserve">____ </w:t>
      </w:r>
      <w:r w:rsidRPr="006069FC">
        <w:rPr>
          <w:rFonts w:ascii="Calibri" w:eastAsia="Times New Roman" w:hAnsi="Calibri" w:cs="Times New Roman"/>
        </w:rPr>
        <w:t xml:space="preserve">case(s) found to be ineligible, describe the error(s).  </w:t>
      </w:r>
    </w:p>
    <w:p w:rsidR="006069FC" w:rsidRPr="009D280C" w:rsidRDefault="006069FC" w:rsidP="00366B53">
      <w:pPr>
        <w:spacing w:after="120" w:line="240" w:lineRule="auto"/>
        <w:ind w:left="504"/>
        <w:rPr>
          <w:rFonts w:ascii="Calibri" w:eastAsia="Times New Roman" w:hAnsi="Calibri" w:cs="Times New Roman"/>
          <w:i/>
        </w:rPr>
      </w:pPr>
      <w:r w:rsidRPr="009D280C">
        <w:rPr>
          <w:rFonts w:ascii="Calibri" w:eastAsia="Times New Roman" w:hAnsi="Calibri" w:cs="Times New Roman"/>
          <w:i/>
        </w:rPr>
        <w:t xml:space="preserve">For example:  </w:t>
      </w:r>
    </w:p>
    <w:p w:rsidR="006069FC" w:rsidRPr="006069FC" w:rsidRDefault="006069FC" w:rsidP="006069FC">
      <w:pPr>
        <w:spacing w:after="120" w:line="240" w:lineRule="auto"/>
        <w:ind w:left="504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In </w:t>
      </w:r>
      <w:r w:rsidRPr="009D280C">
        <w:rPr>
          <w:rFonts w:ascii="Calibri" w:eastAsia="Times New Roman" w:hAnsi="Calibri" w:cs="Times New Roman"/>
        </w:rPr>
        <w:t xml:space="preserve">1 </w:t>
      </w:r>
      <w:r w:rsidRPr="006069FC">
        <w:rPr>
          <w:rFonts w:ascii="Calibri" w:eastAsia="Times New Roman" w:hAnsi="Calibri" w:cs="Times New Roman"/>
        </w:rPr>
        <w:t>IV-E FC case the child had not lived with a specified relative within 6 months of removal.</w:t>
      </w:r>
    </w:p>
    <w:p w:rsidR="006069FC" w:rsidRPr="006069FC" w:rsidRDefault="006069FC" w:rsidP="006069FC">
      <w:pPr>
        <w:spacing w:after="120" w:line="240" w:lineRule="auto"/>
        <w:ind w:left="504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In </w:t>
      </w:r>
      <w:r w:rsidRPr="009D280C">
        <w:rPr>
          <w:rFonts w:ascii="Calibri" w:eastAsia="Times New Roman" w:hAnsi="Calibri" w:cs="Times New Roman"/>
        </w:rPr>
        <w:t>5</w:t>
      </w:r>
      <w:r w:rsidRPr="006069FC">
        <w:rPr>
          <w:rFonts w:ascii="Calibri" w:eastAsia="Times New Roman" w:hAnsi="Calibri" w:cs="Times New Roman"/>
        </w:rPr>
        <w:t xml:space="preserve"> IV-E FC cases, children were found to be ineligible for an interim period of time due to a lack of judicial finding of reasonable efforts to finalize the permanency plan within 12 months of the removal.</w:t>
      </w:r>
    </w:p>
    <w:p w:rsidR="006069FC" w:rsidRPr="006069FC" w:rsidRDefault="006069FC" w:rsidP="006069FC">
      <w:pPr>
        <w:spacing w:after="120" w:line="240" w:lineRule="auto"/>
        <w:rPr>
          <w:rFonts w:ascii="Calibri" w:eastAsia="Times New Roman" w:hAnsi="Calibri" w:cs="Times New Roman"/>
        </w:rPr>
      </w:pPr>
    </w:p>
    <w:p w:rsidR="006069FC" w:rsidRPr="006069FC" w:rsidRDefault="006069FC" w:rsidP="006069FC">
      <w:pPr>
        <w:spacing w:after="120" w:line="240" w:lineRule="auto"/>
        <w:rPr>
          <w:rFonts w:ascii="Calibri" w:eastAsia="Times New Roman" w:hAnsi="Calibri" w:cs="Times New Roman"/>
          <w:b/>
          <w:color w:val="1F4E79"/>
          <w:u w:val="single"/>
        </w:rPr>
      </w:pPr>
      <w:r w:rsidRPr="006069FC">
        <w:rPr>
          <w:rFonts w:ascii="Calibri" w:eastAsia="Times New Roman" w:hAnsi="Calibri" w:cs="Times New Roman"/>
          <w:b/>
          <w:color w:val="1F4E79"/>
          <w:u w:val="single"/>
        </w:rPr>
        <w:t>IV-E Adoption Subsidy</w:t>
      </w:r>
    </w:p>
    <w:p w:rsidR="006069FC" w:rsidRPr="006069FC" w:rsidRDefault="006069FC" w:rsidP="006069FC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Of the ___ cases reviewed as eligible for IV-E Adoption Subsidy, __ </w:t>
      </w:r>
      <w:r w:rsidRPr="006069FC">
        <w:rPr>
          <w:rFonts w:ascii="Calibri" w:eastAsia="Times New Roman" w:hAnsi="Calibri" w:cs="Times New Roman"/>
          <w:b/>
        </w:rPr>
        <w:t>(___%)</w:t>
      </w:r>
      <w:r w:rsidRPr="006069FC">
        <w:rPr>
          <w:rFonts w:ascii="Calibri" w:eastAsia="Times New Roman" w:hAnsi="Calibri" w:cs="Times New Roman"/>
        </w:rPr>
        <w:t xml:space="preserve"> are eligible under Title IV-E Adoption Subsidy.</w:t>
      </w:r>
    </w:p>
    <w:p w:rsidR="00366B53" w:rsidRDefault="006069FC" w:rsidP="006069FC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Of those case(s) found to be ineligible, describe the error(s).  </w:t>
      </w:r>
    </w:p>
    <w:p w:rsidR="006069FC" w:rsidRPr="009D280C" w:rsidRDefault="006069FC" w:rsidP="00366B53">
      <w:pPr>
        <w:spacing w:after="120" w:line="240" w:lineRule="auto"/>
        <w:ind w:left="504"/>
        <w:rPr>
          <w:rFonts w:ascii="Calibri" w:eastAsia="Times New Roman" w:hAnsi="Calibri" w:cs="Times New Roman"/>
          <w:i/>
        </w:rPr>
      </w:pPr>
      <w:r w:rsidRPr="009D280C">
        <w:rPr>
          <w:rFonts w:ascii="Calibri" w:eastAsia="Times New Roman" w:hAnsi="Calibri" w:cs="Times New Roman"/>
          <w:i/>
        </w:rPr>
        <w:t xml:space="preserve">For example:  </w:t>
      </w:r>
    </w:p>
    <w:p w:rsidR="006069FC" w:rsidRPr="006069FC" w:rsidRDefault="006069FC" w:rsidP="006069FC">
      <w:pPr>
        <w:spacing w:after="120" w:line="240" w:lineRule="auto"/>
        <w:ind w:left="504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In </w:t>
      </w:r>
      <w:r w:rsidRPr="00366B53">
        <w:rPr>
          <w:rFonts w:ascii="Calibri" w:eastAsia="Times New Roman" w:hAnsi="Calibri" w:cs="Times New Roman"/>
          <w:u w:val="single"/>
        </w:rPr>
        <w:t>1</w:t>
      </w:r>
      <w:r w:rsidRPr="006069FC">
        <w:rPr>
          <w:rFonts w:ascii="Calibri" w:eastAsia="Times New Roman" w:hAnsi="Calibri" w:cs="Times New Roman"/>
        </w:rPr>
        <w:t xml:space="preserve"> IV-E adoption subsidy case, the Initial Adoption Assistance Agreement was not signed by the agency prior to the finalization.  </w:t>
      </w:r>
    </w:p>
    <w:p w:rsidR="006069FC" w:rsidRDefault="006069FC" w:rsidP="006069FC">
      <w:pPr>
        <w:spacing w:after="120" w:line="240" w:lineRule="auto"/>
        <w:rPr>
          <w:rFonts w:ascii="Calibri" w:eastAsia="Times New Roman" w:hAnsi="Calibri" w:cs="Times New Roman"/>
        </w:rPr>
      </w:pPr>
    </w:p>
    <w:p w:rsidR="006069FC" w:rsidRPr="006069FC" w:rsidRDefault="006069FC" w:rsidP="006069FC">
      <w:pPr>
        <w:spacing w:after="120" w:line="240" w:lineRule="auto"/>
        <w:rPr>
          <w:rFonts w:ascii="Calibri" w:eastAsia="Times New Roman" w:hAnsi="Calibri" w:cs="Times New Roman"/>
          <w:b/>
          <w:color w:val="1F4E79"/>
          <w:u w:val="single"/>
        </w:rPr>
      </w:pPr>
      <w:r w:rsidRPr="006069FC">
        <w:rPr>
          <w:rFonts w:ascii="Calibri" w:eastAsia="Times New Roman" w:hAnsi="Calibri" w:cs="Times New Roman"/>
          <w:b/>
          <w:color w:val="1F4E79"/>
          <w:u w:val="single"/>
        </w:rPr>
        <w:t>TANF MAS</w:t>
      </w:r>
    </w:p>
    <w:p w:rsidR="006069FC" w:rsidRPr="006069FC" w:rsidRDefault="006069FC" w:rsidP="006069FC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Of the ___ cases reviewed as eligible for TANF MAS, ___ </w:t>
      </w:r>
      <w:r w:rsidRPr="006069FC">
        <w:rPr>
          <w:rFonts w:ascii="Calibri" w:eastAsia="Times New Roman" w:hAnsi="Calibri" w:cs="Times New Roman"/>
          <w:b/>
        </w:rPr>
        <w:t>(___%)</w:t>
      </w:r>
      <w:r w:rsidRPr="006069FC">
        <w:rPr>
          <w:rFonts w:ascii="Calibri" w:eastAsia="Times New Roman" w:hAnsi="Calibri" w:cs="Times New Roman"/>
        </w:rPr>
        <w:t xml:space="preserve"> are eligible under TANF.  </w:t>
      </w:r>
    </w:p>
    <w:p w:rsidR="00366B53" w:rsidRDefault="006069FC" w:rsidP="006069FC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Of the ___ cases ineligible under TANF, ___ are IV-E MAS eligible, and ___ are totally ineligible.  Describe the error(s).  </w:t>
      </w:r>
    </w:p>
    <w:p w:rsidR="006069FC" w:rsidRPr="009D280C" w:rsidRDefault="006069FC" w:rsidP="00366B53">
      <w:pPr>
        <w:spacing w:after="120" w:line="240" w:lineRule="auto"/>
        <w:ind w:left="432"/>
        <w:rPr>
          <w:rFonts w:ascii="Calibri" w:eastAsia="Times New Roman" w:hAnsi="Calibri" w:cs="Times New Roman"/>
          <w:i/>
        </w:rPr>
      </w:pPr>
      <w:r w:rsidRPr="009D280C">
        <w:rPr>
          <w:rFonts w:ascii="Calibri" w:eastAsia="Times New Roman" w:hAnsi="Calibri" w:cs="Times New Roman"/>
          <w:i/>
        </w:rPr>
        <w:t>For example:</w:t>
      </w:r>
    </w:p>
    <w:p w:rsidR="006069FC" w:rsidRPr="006069FC" w:rsidRDefault="00245992" w:rsidP="009D280C">
      <w:pPr>
        <w:spacing w:after="0" w:line="240" w:lineRule="auto"/>
        <w:ind w:left="43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</w:t>
      </w:r>
      <w:r w:rsidR="006069FC" w:rsidRPr="006069FC">
        <w:rPr>
          <w:rFonts w:ascii="Calibri" w:eastAsia="Times New Roman" w:hAnsi="Calibri" w:cs="Times New Roman"/>
        </w:rPr>
        <w:t xml:space="preserve">In </w:t>
      </w:r>
      <w:r w:rsidR="006069FC" w:rsidRPr="009D280C">
        <w:rPr>
          <w:rFonts w:ascii="Calibri" w:eastAsia="Times New Roman" w:hAnsi="Calibri" w:cs="Times New Roman"/>
        </w:rPr>
        <w:t xml:space="preserve">1 </w:t>
      </w:r>
      <w:r w:rsidR="006069FC" w:rsidRPr="006069FC">
        <w:rPr>
          <w:rFonts w:ascii="Calibri" w:eastAsia="Times New Roman" w:hAnsi="Calibri" w:cs="Times New Roman"/>
        </w:rPr>
        <w:t>TANF MAS case, the child and adoptive family do not reside in the State of Florida.</w:t>
      </w:r>
    </w:p>
    <w:p w:rsidR="006069FC" w:rsidRPr="006069FC" w:rsidRDefault="006069FC" w:rsidP="006069FC">
      <w:pPr>
        <w:spacing w:after="0" w:line="240" w:lineRule="auto"/>
        <w:ind w:left="648"/>
        <w:rPr>
          <w:rFonts w:ascii="Calibri" w:eastAsia="Times New Roman" w:hAnsi="Calibri" w:cs="Times New Roman"/>
        </w:rPr>
      </w:pPr>
    </w:p>
    <w:p w:rsidR="006069FC" w:rsidRPr="006069FC" w:rsidRDefault="007909BE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</w:rPr>
      </w:pPr>
      <w:r>
        <w:rPr>
          <w:rFonts w:ascii="Calibri" w:eastAsia="Times New Roman" w:hAnsi="Calibri" w:cs="Times New Roman"/>
          <w:b/>
          <w:color w:val="1F4E79"/>
          <w:u w:val="single"/>
        </w:rPr>
        <w:t xml:space="preserve">Initiatives to </w:t>
      </w:r>
      <w:r w:rsidR="006069FC" w:rsidRPr="006069FC">
        <w:rPr>
          <w:rFonts w:ascii="Calibri" w:eastAsia="Times New Roman" w:hAnsi="Calibri" w:cs="Times New Roman"/>
          <w:b/>
          <w:color w:val="1F4E79"/>
          <w:u w:val="single"/>
        </w:rPr>
        <w:t>Improve</w:t>
      </w:r>
    </w:p>
    <w:p w:rsidR="006069FC" w:rsidRDefault="009D280C" w:rsidP="006069F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Describe </w:t>
      </w:r>
      <w:r w:rsidR="007909BE">
        <w:rPr>
          <w:rFonts w:ascii="Calibri" w:eastAsia="Times New Roman" w:hAnsi="Calibri" w:cs="Times New Roman"/>
        </w:rPr>
        <w:t xml:space="preserve">any activities underway to improve eligibility and practice.  What training initiatives are underway? Describe </w:t>
      </w:r>
      <w:r>
        <w:rPr>
          <w:rFonts w:ascii="Calibri" w:eastAsia="Times New Roman" w:hAnsi="Calibri" w:cs="Times New Roman"/>
        </w:rPr>
        <w:t>actions that will occur to address the findings.</w:t>
      </w:r>
    </w:p>
    <w:p w:rsidR="009D280C" w:rsidRPr="00EA2B98" w:rsidRDefault="009D280C" w:rsidP="006069FC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EA2B98">
        <w:rPr>
          <w:rFonts w:ascii="Calibri" w:eastAsia="Times New Roman" w:hAnsi="Calibri" w:cs="Times New Roman"/>
          <w:i/>
        </w:rPr>
        <w:t>For example:</w:t>
      </w:r>
    </w:p>
    <w:p w:rsidR="006069FC" w:rsidRPr="006069FC" w:rsidRDefault="006069FC" w:rsidP="006069FC">
      <w:pPr>
        <w:numPr>
          <w:ilvl w:val="0"/>
          <w:numId w:val="1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Removal orders did not always address “Contrary to the Welfare” language.  There were </w:t>
      </w:r>
      <w:r w:rsidRPr="009D280C">
        <w:rPr>
          <w:rFonts w:ascii="Calibri" w:eastAsia="Times New Roman" w:hAnsi="Calibri" w:cs="Times New Roman"/>
        </w:rPr>
        <w:t>6</w:t>
      </w:r>
      <w:r w:rsidRPr="006069FC">
        <w:rPr>
          <w:rFonts w:ascii="Calibri" w:eastAsia="Times New Roman" w:hAnsi="Calibri" w:cs="Times New Roman"/>
        </w:rPr>
        <w:t xml:space="preserve"> cases that did not have proper language in the removal order (one of these did not have a copy of a removal order). </w:t>
      </w:r>
      <w:r w:rsidR="00366B53">
        <w:rPr>
          <w:rFonts w:ascii="Calibri" w:eastAsia="Times New Roman" w:hAnsi="Calibri" w:cs="Times New Roman"/>
        </w:rPr>
        <w:t>Co</w:t>
      </w:r>
      <w:r w:rsidR="009D280C">
        <w:rPr>
          <w:rFonts w:ascii="Calibri" w:eastAsia="Times New Roman" w:hAnsi="Calibri" w:cs="Times New Roman"/>
        </w:rPr>
        <w:t>nsult</w:t>
      </w:r>
      <w:r w:rsidR="00366B53">
        <w:rPr>
          <w:rFonts w:ascii="Calibri" w:eastAsia="Times New Roman" w:hAnsi="Calibri" w:cs="Times New Roman"/>
        </w:rPr>
        <w:t xml:space="preserve"> with CLS to ensure t</w:t>
      </w:r>
      <w:r w:rsidRPr="006069FC">
        <w:rPr>
          <w:rFonts w:ascii="Calibri" w:eastAsia="Times New Roman" w:hAnsi="Calibri" w:cs="Times New Roman"/>
        </w:rPr>
        <w:t xml:space="preserve">he language </w:t>
      </w:r>
      <w:r w:rsidR="009D280C">
        <w:rPr>
          <w:rFonts w:ascii="Calibri" w:eastAsia="Times New Roman" w:hAnsi="Calibri" w:cs="Times New Roman"/>
        </w:rPr>
        <w:t>in</w:t>
      </w:r>
      <w:r w:rsidRPr="006069FC">
        <w:rPr>
          <w:rFonts w:ascii="Calibri" w:eastAsia="Times New Roman" w:hAnsi="Calibri" w:cs="Times New Roman"/>
        </w:rPr>
        <w:t xml:space="preserve"> the removal order</w:t>
      </w:r>
      <w:r w:rsidR="009D280C">
        <w:rPr>
          <w:rFonts w:ascii="Calibri" w:eastAsia="Times New Roman" w:hAnsi="Calibri" w:cs="Times New Roman"/>
        </w:rPr>
        <w:t>s</w:t>
      </w:r>
      <w:r w:rsidRPr="006069FC">
        <w:rPr>
          <w:rFonts w:ascii="Calibri" w:eastAsia="Times New Roman" w:hAnsi="Calibri" w:cs="Times New Roman"/>
        </w:rPr>
        <w:t xml:space="preserve"> </w:t>
      </w:r>
      <w:r w:rsidR="00366B53">
        <w:rPr>
          <w:rFonts w:ascii="Calibri" w:eastAsia="Times New Roman" w:hAnsi="Calibri" w:cs="Times New Roman"/>
        </w:rPr>
        <w:t>meet federal requirements.</w:t>
      </w:r>
    </w:p>
    <w:p w:rsidR="006069FC" w:rsidRPr="006069FC" w:rsidRDefault="006069FC" w:rsidP="006069FC">
      <w:pPr>
        <w:numPr>
          <w:ilvl w:val="0"/>
          <w:numId w:val="1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The Termination of Parental Rights (TPR) order was missing from </w:t>
      </w:r>
      <w:r w:rsidRPr="00366B53">
        <w:rPr>
          <w:rFonts w:ascii="Calibri" w:eastAsia="Times New Roman" w:hAnsi="Calibri" w:cs="Times New Roman"/>
        </w:rPr>
        <w:t>3</w:t>
      </w:r>
      <w:r w:rsidRPr="006069FC">
        <w:rPr>
          <w:rFonts w:ascii="Calibri" w:eastAsia="Times New Roman" w:hAnsi="Calibri" w:cs="Times New Roman"/>
        </w:rPr>
        <w:t xml:space="preserve"> files.</w:t>
      </w:r>
      <w:r w:rsidR="00366B53">
        <w:rPr>
          <w:rFonts w:ascii="Calibri" w:eastAsia="Times New Roman" w:hAnsi="Calibri" w:cs="Times New Roman"/>
        </w:rPr>
        <w:t xml:space="preserve">  Collaborate with CLS to locate the TPR orders and scan in FSFN.</w:t>
      </w:r>
    </w:p>
    <w:p w:rsidR="006069FC" w:rsidRPr="006069FC" w:rsidRDefault="006069FC" w:rsidP="006069FC">
      <w:pPr>
        <w:numPr>
          <w:ilvl w:val="0"/>
          <w:numId w:val="1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Adoption assistance agreements were not completed or were not fully executed prior to the adoption finalization.  In </w:t>
      </w:r>
      <w:r w:rsidR="00366B53">
        <w:rPr>
          <w:rFonts w:ascii="Calibri" w:eastAsia="Times New Roman" w:hAnsi="Calibri" w:cs="Times New Roman"/>
        </w:rPr>
        <w:t>5</w:t>
      </w:r>
      <w:r w:rsidRPr="006069FC">
        <w:rPr>
          <w:rFonts w:ascii="Calibri" w:eastAsia="Times New Roman" w:hAnsi="Calibri" w:cs="Times New Roman"/>
        </w:rPr>
        <w:t xml:space="preserve"> cases, the agreement was not signed timely; in </w:t>
      </w:r>
      <w:r w:rsidR="00366B53">
        <w:rPr>
          <w:rFonts w:ascii="Calibri" w:eastAsia="Times New Roman" w:hAnsi="Calibri" w:cs="Times New Roman"/>
        </w:rPr>
        <w:t>2</w:t>
      </w:r>
      <w:r w:rsidRPr="006069FC">
        <w:rPr>
          <w:rFonts w:ascii="Calibri" w:eastAsia="Times New Roman" w:hAnsi="Calibri" w:cs="Times New Roman"/>
        </w:rPr>
        <w:t xml:space="preserve"> cases, the agreement did not indicate the amount of the subsidy payment.</w:t>
      </w:r>
      <w:r w:rsidR="00366B53">
        <w:rPr>
          <w:rFonts w:ascii="Calibri" w:eastAsia="Times New Roman" w:hAnsi="Calibri" w:cs="Times New Roman"/>
        </w:rPr>
        <w:t xml:space="preserve">  Provide technical assistance and training to adoption case managers on the importance of timely execution of AAAs.</w:t>
      </w:r>
    </w:p>
    <w:p w:rsidR="006069FC" w:rsidRPr="006069FC" w:rsidRDefault="006069FC" w:rsidP="006069FC">
      <w:pPr>
        <w:numPr>
          <w:ilvl w:val="0"/>
          <w:numId w:val="1"/>
        </w:numPr>
        <w:spacing w:after="12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>Maintenance adoption subsidy benefits were paid for the benefit of children who did not have special needs in 2 cases.</w:t>
      </w:r>
      <w:r w:rsidR="00366B53">
        <w:rPr>
          <w:rFonts w:ascii="Calibri" w:eastAsia="Times New Roman" w:hAnsi="Calibri" w:cs="Times New Roman"/>
        </w:rPr>
        <w:t xml:space="preserve">  Provide technical assistance and training on special needs.</w:t>
      </w:r>
    </w:p>
    <w:p w:rsidR="006069FC" w:rsidRPr="006069FC" w:rsidRDefault="006069FC" w:rsidP="006069F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6069FC">
        <w:rPr>
          <w:rFonts w:ascii="Calibri" w:eastAsia="Times New Roman" w:hAnsi="Calibri" w:cs="Times New Roman"/>
        </w:rPr>
        <w:t xml:space="preserve">The eligibility determination in 8 cases showed IV-E eligible, but TANF was claimed. </w:t>
      </w:r>
      <w:r w:rsidR="009D280C">
        <w:rPr>
          <w:rFonts w:ascii="Calibri" w:eastAsia="Times New Roman" w:hAnsi="Calibri" w:cs="Times New Roman"/>
        </w:rPr>
        <w:t>Ensure recoupment actions occur.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</w:rPr>
      </w:pP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Additional Comments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</w:rPr>
      </w:pP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</w:rPr>
      </w:pP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</w:rPr>
      </w:pP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Signatures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____________________________________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ab/>
        <w:t xml:space="preserve">  ________________</w:t>
      </w:r>
      <w:r w:rsidR="009D280C">
        <w:rPr>
          <w:rFonts w:ascii="Calibri" w:eastAsia="Times New Roman" w:hAnsi="Calibri" w:cs="Times New Roman"/>
          <w:b/>
          <w:color w:val="1F4E79"/>
          <w:sz w:val="24"/>
          <w:szCs w:val="24"/>
        </w:rPr>
        <w:t>__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___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Lead Reviewer                                                                    </w:t>
      </w:r>
      <w:r w:rsidR="008C3816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  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Date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_________</w:t>
      </w:r>
      <w:r w:rsidR="009D280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__________________________     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_____________________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Chief Operating Officer                                                  </w:t>
      </w:r>
      <w:r w:rsidR="008C3816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     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Date 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___________________________________       _____________________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Chief Financial Officer                                                 </w:t>
      </w:r>
      <w:r w:rsidR="008C3816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 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</w:t>
      </w:r>
      <w:r w:rsidR="008C3816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     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Date 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  <w:b/>
          <w:color w:val="1F4E79"/>
          <w:sz w:val="24"/>
          <w:szCs w:val="24"/>
        </w:r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>___________</w:t>
      </w:r>
      <w:r w:rsidR="009D280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________________________       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_____________________</w:t>
      </w:r>
    </w:p>
    <w:p w:rsidR="006069FC" w:rsidRPr="006069FC" w:rsidRDefault="006069FC" w:rsidP="006069FC">
      <w:pPr>
        <w:spacing w:after="0" w:line="240" w:lineRule="auto"/>
        <w:rPr>
          <w:rFonts w:ascii="Calibri" w:eastAsia="Times New Roman" w:hAnsi="Calibri" w:cs="Times New Roman"/>
        </w:rPr>
        <w:sectPr w:rsidR="006069FC" w:rsidRPr="006069FC" w:rsidSect="006069FC">
          <w:footerReference w:type="default" r:id="rId7"/>
          <w:footerReference w:type="first" r:id="rId8"/>
          <w:pgSz w:w="12240" w:h="15840"/>
          <w:pgMar w:top="1152" w:right="1152" w:bottom="1152" w:left="1152" w:header="720" w:footer="720" w:gutter="0"/>
          <w:pgBorders w:offsetFrom="page">
            <w:top w:val="single" w:sz="24" w:space="24" w:color="1F4E79" w:shadow="1"/>
            <w:left w:val="single" w:sz="24" w:space="24" w:color="1F4E79" w:shadow="1"/>
            <w:bottom w:val="single" w:sz="24" w:space="24" w:color="1F4E79" w:shadow="1"/>
            <w:right w:val="single" w:sz="24" w:space="24" w:color="1F4E79" w:shadow="1"/>
          </w:pgBorders>
          <w:cols w:space="720"/>
          <w:titlePg/>
        </w:sectPr>
      </w:pP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Chief Executive Officer                                                </w:t>
      </w:r>
      <w:r w:rsidR="008C3816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     </w:t>
      </w:r>
      <w:r w:rsidRPr="006069FC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 </w:t>
      </w:r>
      <w:r w:rsidR="008C3816">
        <w:rPr>
          <w:rFonts w:ascii="Calibri" w:eastAsia="Times New Roman" w:hAnsi="Calibri" w:cs="Times New Roman"/>
          <w:b/>
          <w:color w:val="1F4E79"/>
          <w:sz w:val="24"/>
          <w:szCs w:val="24"/>
        </w:rPr>
        <w:t xml:space="preserve"> </w:t>
      </w:r>
      <w:r w:rsidR="00FA1438">
        <w:rPr>
          <w:rFonts w:ascii="Calibri" w:eastAsia="Times New Roman" w:hAnsi="Calibri" w:cs="Times New Roman"/>
          <w:b/>
          <w:color w:val="1F4E79"/>
          <w:sz w:val="24"/>
          <w:szCs w:val="24"/>
        </w:rPr>
        <w:t>Date</w:t>
      </w:r>
      <w:bookmarkStart w:id="0" w:name="_GoBack"/>
      <w:bookmarkEnd w:id="0"/>
    </w:p>
    <w:p w:rsidR="00F26572" w:rsidRDefault="00F26572" w:rsidP="00FA1438"/>
    <w:sectPr w:rsidR="00F26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38" w:rsidRDefault="00FA1438" w:rsidP="00FA1438">
      <w:pPr>
        <w:spacing w:after="0" w:line="240" w:lineRule="auto"/>
      </w:pPr>
      <w:r>
        <w:separator/>
      </w:r>
    </w:p>
  </w:endnote>
  <w:endnote w:type="continuationSeparator" w:id="0">
    <w:p w:rsidR="00FA1438" w:rsidRDefault="00FA1438" w:rsidP="00FA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494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438" w:rsidRDefault="00FA1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1438" w:rsidRDefault="00FA1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707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438" w:rsidRDefault="00FA1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438" w:rsidRDefault="00FA1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38" w:rsidRDefault="00FA1438" w:rsidP="00FA1438">
      <w:pPr>
        <w:spacing w:after="0" w:line="240" w:lineRule="auto"/>
      </w:pPr>
      <w:r>
        <w:separator/>
      </w:r>
    </w:p>
  </w:footnote>
  <w:footnote w:type="continuationSeparator" w:id="0">
    <w:p w:rsidR="00FA1438" w:rsidRDefault="00FA1438" w:rsidP="00FA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508B"/>
    <w:multiLevelType w:val="singleLevel"/>
    <w:tmpl w:val="48D80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691A5910"/>
    <w:multiLevelType w:val="hybridMultilevel"/>
    <w:tmpl w:val="7278DF06"/>
    <w:lvl w:ilvl="0" w:tplc="724C6332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FC"/>
    <w:rsid w:val="001C212B"/>
    <w:rsid w:val="00245992"/>
    <w:rsid w:val="00366B53"/>
    <w:rsid w:val="006069FC"/>
    <w:rsid w:val="007909BE"/>
    <w:rsid w:val="008C3816"/>
    <w:rsid w:val="009D280C"/>
    <w:rsid w:val="00EA2B98"/>
    <w:rsid w:val="00F26572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E164-8E05-4A78-8A8F-58527F9B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438"/>
  </w:style>
  <w:style w:type="paragraph" w:styleId="Footer">
    <w:name w:val="footer"/>
    <w:basedOn w:val="Normal"/>
    <w:link w:val="FooterChar"/>
    <w:uiPriority w:val="99"/>
    <w:unhideWhenUsed/>
    <w:rsid w:val="00FA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Purpose of Review</vt:lpstr>
      <vt:lpstr>Summary</vt:lpstr>
      <vt:lpstr>The summary provides an overview of the key findings.  Include an analysis and e</vt:lpstr>
      <vt:lpstr/>
      <vt:lpstr>Methodology  </vt:lpstr>
      <vt:lpstr>Findings</vt:lpstr>
    </vt:vector>
  </TitlesOfParts>
  <Company>DCF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Sallie</dc:creator>
  <cp:keywords/>
  <dc:description/>
  <cp:lastModifiedBy>Bond, Sallie</cp:lastModifiedBy>
  <cp:revision>7</cp:revision>
  <cp:lastPrinted>2015-07-23T15:03:00Z</cp:lastPrinted>
  <dcterms:created xsi:type="dcterms:W3CDTF">2015-07-17T18:31:00Z</dcterms:created>
  <dcterms:modified xsi:type="dcterms:W3CDTF">2015-07-24T20:05:00Z</dcterms:modified>
</cp:coreProperties>
</file>